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media/image2.jpeg" ContentType="image/jpeg"/>
  <Override PartName="/word/media/image3.jpeg" ContentType="image/jpeg"/>
  <Override PartName="/word/media/image4.jpeg" ContentType="image/jpeg"/>
  <Override PartName="/word/media/image5.jpeg" ContentType="image/jpeg"/>
  <Override PartName="/word/media/image1.gif" ContentType="image/gif"/>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center"/>
      </w:pPr>
      <w:r>
        <w:rPr>
          <w:rFonts w:ascii="Verdana" w:cs="Times New Roman" w:eastAsia="Times New Roman" w:hAnsi="Verdana"/>
          <w:color w:val="FFFFFF"/>
          <w:sz w:val="17"/>
          <w:szCs w:val="17"/>
          <w:lang w:eastAsia="es-ES"/>
        </w:rPr>
        <w:br/>
      </w:r>
    </w:p>
    <w:p>
      <w:pPr>
        <w:pStyle w:val="style0"/>
        <w:shd w:fill="FFFFFF" w:val="clear"/>
        <w:spacing w:after="225" w:before="0" w:line="300" w:lineRule="atLeast"/>
        <w:jc w:val="both"/>
      </w:pPr>
      <w:r>
        <w:rPr>
          <w:rFonts w:ascii="Verdana" w:cs="Times New Roman" w:eastAsia="Times New Roman" w:hAnsi="Verdana"/>
          <w:b/>
          <w:bCs/>
          <w:color w:val="525252"/>
          <w:sz w:val="21"/>
          <w:szCs w:val="21"/>
          <w:lang w:eastAsia="es-ES"/>
        </w:rPr>
        <w:t>V Convenio colectivo del sector de la construcción.</w:t>
      </w:r>
    </w:p>
    <w:p>
      <w:pPr>
        <w:pStyle w:val="style0"/>
        <w:shd w:fill="FFFFFF" w:val="clear"/>
        <w:spacing w:after="0" w:before="0" w:line="300" w:lineRule="atLeast"/>
      </w:pPr>
      <w:r>
        <w:rPr>
          <w:rFonts w:ascii="Verdana" w:cs="Times New Roman" w:eastAsia="Times New Roman" w:hAnsi="Verdana"/>
          <w:color w:val="525252"/>
          <w:sz w:val="17"/>
          <w:szCs w:val="17"/>
          <w:lang w:eastAsia="es-ES"/>
        </w:rPr>
        <w:br/>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Estatal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Sector: Construcción y Obras Públicas</w:t>
      </w:r>
    </w:p>
    <w:p>
      <w:pPr>
        <w:pStyle w:val="style0"/>
        <w:shd w:fill="FFFFFF" w:val="clear"/>
        <w:spacing w:after="225" w:before="0" w:line="300" w:lineRule="atLeast"/>
        <w:jc w:val="both"/>
      </w:pPr>
      <w:r>
        <w:rPr>
          <w:rFonts w:ascii="Verdana" w:cs="Times New Roman" w:eastAsia="Times New Roman" w:hAnsi="Verdana"/>
          <w:color w:val="9D1F1F"/>
          <w:sz w:val="17"/>
          <w:szCs w:val="17"/>
          <w:lang w:eastAsia="es-ES"/>
        </w:rPr>
        <w:t>BOE 64/2012, de 15 de marzo de 2012 Ref Boletín: 12/03725</w:t>
      </w:r>
    </w:p>
    <w:p>
      <w:pPr>
        <w:pStyle w:val="style0"/>
        <w:numPr>
          <w:ilvl w:val="0"/>
          <w:numId w:val="1"/>
        </w:numPr>
        <w:shd w:fill="FFFFFF" w:val="clear"/>
        <w:spacing w:after="0" w:before="0" w:line="300" w:lineRule="atLeast"/>
        <w:ind w:hanging="0" w:left="0" w:right="0"/>
        <w:jc w:val="both"/>
      </w:pPr>
      <w:r>
        <w:rPr>
          <w:rFonts w:ascii="Verdana" w:cs="Times New Roman" w:eastAsia="Times New Roman" w:hAnsi="Verdana"/>
          <w:color w:val="0087AD"/>
          <w:sz w:val="17"/>
          <w:lang w:eastAsia="es-ES"/>
        </w:rPr>
        <w:t>ÍNDICE</w:t>
      </w:r>
    </w:p>
    <w:p>
      <w:pPr>
        <w:pStyle w:val="style0"/>
        <w:numPr>
          <w:ilvl w:val="0"/>
          <w:numId w:val="2"/>
        </w:numPr>
        <w:shd w:fill="FFFFFF" w:val="clear"/>
        <w:spacing w:after="0" w:before="0" w:line="300" w:lineRule="atLeast"/>
        <w:ind w:hanging="0" w:left="0" w:right="0"/>
        <w:jc w:val="both"/>
      </w:pPr>
      <w:r>
        <w:rPr>
          <w:rFonts w:ascii="Verdana" w:cs="Times New Roman" w:eastAsia="Times New Roman" w:hAnsi="Verdana"/>
          <w:color w:val="0087AD"/>
          <w:sz w:val="17"/>
          <w:lang w:eastAsia="es-ES"/>
        </w:rPr>
        <w:t>FICHA TÉCNICA</w:t>
      </w:r>
    </w:p>
    <w:p>
      <w:pPr>
        <w:pStyle w:val="style0"/>
        <w:shd w:fill="FFFFFF" w:val="clear"/>
        <w:spacing w:after="28" w:before="28" w:line="300" w:lineRule="atLeast"/>
        <w:jc w:val="both"/>
      </w:pPr>
      <w:bookmarkStart w:id="0" w:name="LOC_DOP.1"/>
      <w:bookmarkStart w:id="1" w:name="SE1"/>
      <w:bookmarkEnd w:id="0"/>
      <w:bookmarkEnd w:id="1"/>
      <w:r>
        <w:rPr>
          <w:rFonts w:ascii="Verdana" w:cs="Times New Roman" w:eastAsia="Times New Roman" w:hAnsi="Verdana"/>
          <w:b/>
          <w:bCs/>
          <w:color w:val="0087AD"/>
          <w:sz w:val="21"/>
          <w:lang w:eastAsia="es-ES"/>
        </w:rPr>
        <w:t>V CONVENIO GENERAL DEL SECTOR DE LA CONSTRUCCIÓN </w:t>
      </w:r>
    </w:p>
    <w:p>
      <w:pPr>
        <w:pStyle w:val="style0"/>
        <w:shd w:fill="FFFFFF" w:val="clear"/>
        <w:spacing w:after="28" w:before="28" w:line="300" w:lineRule="atLeast"/>
        <w:jc w:val="both"/>
      </w:pPr>
      <w:bookmarkStart w:id="2" w:name="LOC_PRE.UN"/>
      <w:bookmarkStart w:id="3" w:name="SE2"/>
      <w:bookmarkEnd w:id="2"/>
      <w:bookmarkEnd w:id="3"/>
      <w:r>
        <w:rPr>
          <w:rFonts w:ascii="Verdana" w:cs="Times New Roman" w:eastAsia="Times New Roman" w:hAnsi="Verdana"/>
          <w:b/>
          <w:bCs/>
          <w:color w:val="0087AD"/>
          <w:sz w:val="21"/>
          <w:lang w:eastAsia="es-ES"/>
        </w:rPr>
        <w:t>PREÁMBULO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partes firmantes del V Convenio General del Sector de la Construcción (CGSC) desean manifestar que la experiencia acumulada de los anteriores textos convencionales del sector demuestra que la regulación homogénea de determinadas materias para todo el territorio nacional y el establecimiento de un único marco normativo, han tenido efectos beneficiosos y estimulantes para el adecuado desarrollo de las relaciones laborales en el sector de la construcción, caracterizado por una elevada movilidad geográfica y una mayoritaria regulación de las condiciones laborales a través de los convenios colectivos de carácter provincial.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ello las partes signatarias del V Convenio General del Sector de la Construcción, haciendo uso de sus derechos fundamentales de asociación y libertad sindical, desean manifestar igualmente su compromiso para que, durante su vigencia, la totalidad de sus contenidos produzcan consecuencias jurídicas para sus representados, federados y confederados, obligándose a tal fin respecto de ellas mismas y de cuantas organizaciones integran y representan, a no promover ni concluir convenios colectivos provinciales o de comunidad autónoma o de ámbito inferior que contengan o regulen materias reservadas por aquél al ámbito general estatal o que, de alguna manera, se opongan al mismo o contradigan sus prescripciones.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reformas legislativas en el ámbito laboral llevadas a cabo en los últimos meses exigen actualizar y adecuar determinados contenidos negociales, especialmente lo referido a la estructura de la negociación colectiva. En este sentido el V CGSC adopta y delimita, si cabe con mayor precisión que los anteriores, las competencias negociales de los diferentes ámbitos territoriales en el marco de la nueva regulación estatutaria.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otra parte, las partes firmantes del presente Convenio manifiestan que son conscientes de la necesidad de continuar una política operativa en materia de prevención de riesgos profesionales, de adoptar las medidas necesarias para la eliminación o reducción de los factores de riesgo y de la consiguiente disminución de los accidentes de trabajo y de las enfermedades profesionales en las empresas, así como del fomento de la información y formación de los trabajadores y de sus representantes.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otro orden de cosas y de conformidad con lo establecido en el art. 10 de la Ley 32/2006 de 18 de octubre, Reguladora de la subcontratación en el sector de la construcción, las partes firmantes consideran que uno de los instrumentos básicos determinante para combatir decisivamente la siniestralidad en el sector y mejorar las condiciones de seguridad y salud es que todos los trabajadores que prestan servicios en las obras tengan la formación necesaria y adecuada a su puesto de trabajo o función en materia de prevención de riesgos laborales, de forma que conozcan los riesgos y las medidas para prevenirlos. Además y teniendo en cuenta la presencia de los trabajadores inmigrantes en el sector, la formación e información dirigida a estos trabajadores será la adecuada y necesaria a sus características, especialmente en el caso de que desconozcan el idioma español.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consecuencia, y conforme a la habilitación legal establecida en el art. 10.2 de la citada Ley 32/2006, de 18 de octubre, las partes firmantes consideran necesario que la Fundación Laboral de la Construcción, por mandato de las mismas, desarrolle los planes y acciones formativos necesarios para el desarrollo de la prevención de riesgos laborales en el sector en los términos que se concretan en el correspondiente título.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Además, en desarrollo de lo establecido en el art. 10.3 de la citada Ley 32/2006 y como forma de acreditar la formación específica recibida por los trabajadores en materia de prevención de riesgos laborales, se continúa con el fomento de la implantación en todo el territorio nacional de una cartilla o carné profesional que será único y tendrá validez en el conjunto del sector; como forma de acreditar la formación de los trabajadores; la denominada «Tarjeta Profesional de la Construcción» (TPC).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diseño, ejecución y expedición de dicha Tarjeta se encuentra encomendada a la Fundación Laboral de la Construcción (FLC), desarrollando igualmente las tareas de inscripción de los cursos que imparta así como la convalidación, acreditación y registro de los cursos impartidos por las empresas que, por su contenido y horas de formación, se ajusten a los programas formativos establecidos por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Asimismo en el presente convenio se refleja la situación actual de la sociedad respecto de la igualdad entre hombres y mujeres, y dada la importancia que la misma está adquiriendo en la organización de las relaciones laborales, dentro del marco de la Ley 3/2007, de 22 de marzo, para la igualdad efectiva de hombres y mujeres, se incluyen varias medidas tendentes a hacer efectiva esta igualdad.</w:t>
      </w:r>
    </w:p>
    <w:p>
      <w:pPr>
        <w:pStyle w:val="style0"/>
        <w:shd w:fill="FFFFFF" w:val="clear"/>
        <w:spacing w:after="28" w:before="28" w:line="300" w:lineRule="atLeast"/>
        <w:jc w:val="both"/>
      </w:pPr>
      <w:bookmarkStart w:id="4" w:name="LOC_LIB.1"/>
      <w:bookmarkStart w:id="5" w:name="SE3"/>
      <w:bookmarkEnd w:id="4"/>
      <w:bookmarkEnd w:id="5"/>
      <w:r>
        <w:rPr>
          <w:rFonts w:ascii="Verdana" w:cs="Times New Roman" w:eastAsia="Times New Roman" w:hAnsi="Verdana"/>
          <w:b/>
          <w:bCs/>
          <w:color w:val="0087AD"/>
          <w:sz w:val="21"/>
          <w:lang w:eastAsia="es-ES"/>
        </w:rPr>
        <w:t>LIBRO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ASPECTOS GENERALES DEL CONVENIO GENERAL DEL SECTOR DE LA CONSTRUCCIÓN</w:t>
      </w:r>
    </w:p>
    <w:p>
      <w:pPr>
        <w:pStyle w:val="style0"/>
        <w:shd w:fill="FFFFFF" w:val="clear"/>
        <w:spacing w:after="28" w:before="28" w:line="300" w:lineRule="atLeast"/>
        <w:jc w:val="both"/>
      </w:pPr>
      <w:bookmarkStart w:id="6" w:name="LOC_TIT.PR"/>
      <w:bookmarkStart w:id="7" w:name="SE4"/>
      <w:bookmarkEnd w:id="6"/>
      <w:bookmarkEnd w:id="7"/>
      <w:r>
        <w:rPr>
          <w:rFonts w:ascii="Verdana" w:cs="Times New Roman" w:eastAsia="Times New Roman" w:hAnsi="Verdana"/>
          <w:b/>
          <w:bCs/>
          <w:color w:val="0087AD"/>
          <w:sz w:val="21"/>
          <w:lang w:eastAsia="es-ES"/>
        </w:rPr>
        <w:t>TÍTULO PRELIMINAR.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bookmarkStart w:id="8" w:name="SE5"/>
      <w:bookmarkEnd w:id="8"/>
      <w:r>
        <w:rPr>
          <w:rFonts w:ascii="Verdana" w:cs="Times New Roman" w:eastAsia="Times New Roman" w:hAnsi="Verdana"/>
          <w:b/>
          <w:bCs/>
          <w:color w:val="0087AD"/>
          <w:sz w:val="21"/>
          <w:lang w:eastAsia="es-ES"/>
        </w:rPr>
        <w:t>CAPÍTULO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NATURALEZA JURÍDICA, ÁMBITOS Y GARANTÍAS</w:t>
      </w:r>
    </w:p>
    <w:p>
      <w:pPr>
        <w:pStyle w:val="style0"/>
        <w:shd w:fill="FFFFFF" w:val="clear"/>
        <w:spacing w:after="28" w:before="28" w:line="300" w:lineRule="atLeast"/>
        <w:jc w:val="both"/>
      </w:pPr>
      <w:bookmarkStart w:id="9" w:name="LOC_ART.1"/>
      <w:bookmarkStart w:id="10" w:name="SE6"/>
      <w:bookmarkEnd w:id="9"/>
      <w:bookmarkEnd w:id="10"/>
      <w:r>
        <w:rPr>
          <w:rFonts w:ascii="Verdana" w:cs="Times New Roman" w:eastAsia="Times New Roman" w:hAnsi="Verdana"/>
          <w:b/>
          <w:bCs/>
          <w:caps/>
          <w:color w:val="0087AD"/>
          <w:sz w:val="17"/>
          <w:lang w:eastAsia="es-ES"/>
        </w:rPr>
        <w:t>ARTÍCULO 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Partes signatarias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Son partes firmantes del presente Convenio General, de una parte, la Federación Estatal de la Construcción, Madera y Afines de CC.OO. (FECOMA-CC.OO.) y Metal, Construcción y Afines, Federación Estatal de la U.G.T. (MCA-UGT), como representación sindical y, de otra parte, la Confederación Nacional de la Construcción (CNC), en representación empresarial.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partes signatarias se reconocen mutuamente legitimación para negociar el presente Convenio.</w:t>
      </w:r>
    </w:p>
    <w:p>
      <w:pPr>
        <w:pStyle w:val="style0"/>
        <w:shd w:fill="FFFFFF" w:val="clear"/>
        <w:spacing w:after="28" w:before="28" w:line="300" w:lineRule="atLeast"/>
        <w:jc w:val="both"/>
      </w:pPr>
      <w:bookmarkStart w:id="11" w:name="LOC_ART.2"/>
      <w:bookmarkStart w:id="12" w:name="SE7"/>
      <w:bookmarkEnd w:id="11"/>
      <w:bookmarkEnd w:id="12"/>
      <w:r>
        <w:rPr>
          <w:rFonts w:ascii="Verdana" w:cs="Times New Roman" w:eastAsia="Times New Roman" w:hAnsi="Verdana"/>
          <w:b/>
          <w:bCs/>
          <w:caps/>
          <w:color w:val="0087AD"/>
          <w:sz w:val="17"/>
          <w:lang w:eastAsia="es-ES"/>
        </w:rPr>
        <w:t>ARTÍCULO 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Naturaleza jurídica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Convenio General del Sector de la Construcción ha sido negociado al amparo del Título III del Estatuto de los Trabajadores (E.T.) y, en particular, de conformidad con los arts. 83 y 84 de dicho texto legal en su redacción dada por el Real Decreto-ley 7/2011, de 10 de junio, de medidas urgentes para la Reforma de la Negociación Colectiva. Sus disposiciones tienen naturaleza normativa y eficacia general, por lo que obligan a todas las asociaciones y entidades comprendidas dentro de sus ámbitos funcional, personal y territorial.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presente Convenio queda abierto a la adhesión de otras organizaciones sindicales y empresariales representativas en distintos ámbitos a los pactados, previo acuerdo de las partes signatarias.</w:t>
      </w:r>
    </w:p>
    <w:p>
      <w:pPr>
        <w:pStyle w:val="style0"/>
        <w:shd w:fill="FFFFFF" w:val="clear"/>
        <w:spacing w:after="28" w:before="28" w:line="300" w:lineRule="atLeast"/>
        <w:jc w:val="both"/>
      </w:pPr>
      <w:bookmarkStart w:id="13" w:name="LOC_ART.3"/>
      <w:bookmarkStart w:id="14" w:name="SE8"/>
      <w:bookmarkEnd w:id="13"/>
      <w:bookmarkEnd w:id="14"/>
      <w:r>
        <w:rPr>
          <w:rFonts w:ascii="Verdana" w:cs="Times New Roman" w:eastAsia="Times New Roman" w:hAnsi="Verdana"/>
          <w:b/>
          <w:bCs/>
          <w:caps/>
          <w:color w:val="0087AD"/>
          <w:sz w:val="17"/>
          <w:lang w:eastAsia="es-ES"/>
        </w:rPr>
        <w:t>ARTÍCULO 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 funcional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presente Convenio General será de obligado cumplimiento en todas las actividades propias del sector de la construcción, que son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Las dedicadas a la construcción y obras públicas.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 conservación y mantenimiento de infraestructuras.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Canteras, areneras, graveras y la explotación de tierras industriales.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Embarcaciones, artefactos flotantes y ferrocarriles auxiliares de obras y puertos.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El comercio de la construcción mayoritario y exclusivista.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actividades que integran el campo de aplicación de este Convenio General se relacionan y detallan, a título enunciativo y no exhaustivo, en el Anexo I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Asimismo, quedan integradas en el campo de aplicación de este Convenio General, las empresas y los centros de trabajo que, sin estar incluidas expresamente en el Anexo I, tengan como actividad principal las propias del sector de la construcción, de acuerdo con el principio de unidad de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Teniendo en cuenta la concurrencia de empresas en un mismo centro de trabajo, la complicación de la gestión de la prevención en éstos y lo dispuesto en la Ley reguladora de la subcontratación en el sector de la construcción, también estarán sometidas a lo dispuesto en el Libro II en relación con las disposiciones mínimas de seguridad y salud aplicables en las obras de construcción y en canteras areneras, graveras y la explotación de tierras industriales, todas aquellas empresas que ejecuten trabajos en los centros de trabajo considerados como obras.</w:t>
      </w:r>
    </w:p>
    <w:p>
      <w:pPr>
        <w:pStyle w:val="style0"/>
        <w:shd w:fill="FFFFFF" w:val="clear"/>
        <w:spacing w:after="28" w:before="28" w:line="300" w:lineRule="atLeast"/>
        <w:jc w:val="both"/>
      </w:pPr>
      <w:bookmarkStart w:id="15" w:name="LOC_ART.4"/>
      <w:bookmarkStart w:id="16" w:name="SE9"/>
      <w:bookmarkEnd w:id="15"/>
      <w:bookmarkEnd w:id="16"/>
      <w:r>
        <w:rPr>
          <w:rFonts w:ascii="Verdana" w:cs="Times New Roman" w:eastAsia="Times New Roman" w:hAnsi="Verdana"/>
          <w:b/>
          <w:bCs/>
          <w:caps/>
          <w:color w:val="0087AD"/>
          <w:sz w:val="17"/>
          <w:lang w:eastAsia="es-ES"/>
        </w:rPr>
        <w:t>ARTÍCULO 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 personal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normativa de este Convenio será de obligada y general observancia para todas las empresas, entidades públicas y trabajadores de las actividades enumeradas en el artículo anterior.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Se excluye del ámbito del presente Convenio el personal directivo de las empresas sometidas al mismo y que se corresponden con el Nivel I conforme lo dispuesto en la Disposición Transitoria Primera de este Convenio. Este personal es de libre designación por la empresa. Su relación laboral se regirá por su contrato de trabajo y, en su caso, por la normativa especial que le resulte de 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un cargo directivo no ha sido contratado como tal, sino que accede a dicho cargo por promoción interna en la empresa, solamente estará excluido de la aplicación de este Convenio mientras desempeñe dicho cargo y para las condiciones que deriven exclusivamente del mismo.</w:t>
      </w:r>
    </w:p>
    <w:p>
      <w:pPr>
        <w:pStyle w:val="style0"/>
        <w:shd w:fill="FFFFFF" w:val="clear"/>
        <w:spacing w:after="28" w:before="28" w:line="300" w:lineRule="atLeast"/>
        <w:jc w:val="both"/>
      </w:pPr>
      <w:bookmarkStart w:id="17" w:name="LOC_ART.5"/>
      <w:bookmarkStart w:id="18" w:name="SE10"/>
      <w:bookmarkEnd w:id="17"/>
      <w:bookmarkEnd w:id="18"/>
      <w:r>
        <w:rPr>
          <w:rFonts w:ascii="Verdana" w:cs="Times New Roman" w:eastAsia="Times New Roman" w:hAnsi="Verdana"/>
          <w:b/>
          <w:bCs/>
          <w:caps/>
          <w:color w:val="0087AD"/>
          <w:sz w:val="17"/>
          <w:lang w:eastAsia="es-ES"/>
        </w:rPr>
        <w:t>ARTÍCULO 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 territorial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Este Convenio General será de aplicación en todo el territorio del estado español. Asimismo, será de aplicación a los trabajadores contratados en España al servicio de empresas españolas del sector de la construcción en el extranjero, quienes tendrán, al menos, los derechos económicos que les corresponderían de trabajar en territorio español.</w:t>
      </w:r>
    </w:p>
    <w:p>
      <w:pPr>
        <w:pStyle w:val="style0"/>
        <w:shd w:fill="FFFFFF" w:val="clear"/>
        <w:spacing w:after="28" w:before="28" w:line="300" w:lineRule="atLeast"/>
        <w:jc w:val="both"/>
      </w:pPr>
      <w:bookmarkStart w:id="19" w:name="LOC_ART.6"/>
      <w:bookmarkStart w:id="20" w:name="SE11"/>
      <w:bookmarkEnd w:id="19"/>
      <w:bookmarkEnd w:id="20"/>
      <w:r>
        <w:rPr>
          <w:rFonts w:ascii="Verdana" w:cs="Times New Roman" w:eastAsia="Times New Roman" w:hAnsi="Verdana"/>
          <w:b/>
          <w:bCs/>
          <w:caps/>
          <w:color w:val="0087AD"/>
          <w:sz w:val="17"/>
          <w:lang w:eastAsia="es-ES"/>
        </w:rPr>
        <w:t>ARTÍCULO 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 material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Convenio General del Sector de la Construcción establece el marco normativo de las relaciones de trabajo en el sector, regulando sus condiciones generales, con la doble finalidad de homogeneizarlas y otorgarles carácter de permanencia y estabilidad.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Su contenido se refiere a la regulación de las condiciones generales de trabajo a aplicar en todo su ámbito y con la vigencia que en el propio Convenio se determina, a la vez que comprende y desarrolla las materias reservadas a la negociación de ámbito general previstas en el art. 12 del presente Convenio.</w:t>
      </w:r>
    </w:p>
    <w:p>
      <w:pPr>
        <w:pStyle w:val="style0"/>
        <w:shd w:fill="FFFFFF" w:val="clear"/>
        <w:spacing w:after="28" w:before="28" w:line="300" w:lineRule="atLeast"/>
        <w:jc w:val="both"/>
      </w:pPr>
      <w:bookmarkStart w:id="21" w:name="LOC_ART.7"/>
      <w:bookmarkStart w:id="22" w:name="SE12"/>
      <w:bookmarkEnd w:id="21"/>
      <w:bookmarkEnd w:id="22"/>
      <w:r>
        <w:rPr>
          <w:rFonts w:ascii="Verdana" w:cs="Times New Roman" w:eastAsia="Times New Roman" w:hAnsi="Verdana"/>
          <w:b/>
          <w:bCs/>
          <w:caps/>
          <w:color w:val="0087AD"/>
          <w:sz w:val="17"/>
          <w:lang w:eastAsia="es-ES"/>
        </w:rPr>
        <w:t>ARTÍCULO 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 temporal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presente Convenio extenderá su vigencia hasta el 31 de diciembre de 2012. Su entrada en vigor se producirá el 1 de enero de 2012, surtiendo plenos efectos desde esa fecha.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No obstante lo dispuesto en el apartado anterior, tendrán la vigencia de 5 años, y por tanto extenderán su vigencia hasta el 31 de diciembre del año 2016, lo regulado en el presente Convenio referente 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Estructura de la negociación colectiva del sector: Libro I, Título Preliminar, Capítulo II, art. 11.</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Articulación de la negociación colectiva: Libro I, Título Preliminar, Capítulo II, art. 12.</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Concurrencia de convenios: Libro I, Título Preliminar, Capítulo II, art. 13.</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Inaplicación de condiciones de trabajo: Libro I, Título Preliminar, Capítulo III, arts. 14 al 17.</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Contrato fijo de obra: Libro I, Título I, Capítulo II, art. 24.</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Subrogación de personal en contratas de mantenimiento de carreteras o vías férreas: Libro I, Título I, Capítulo II, art. 27.</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Jubilación: Libro I, Título I, Capítulo XI, art. 97.</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Comisión Paritaria: Libro I, Título III, Capítulo I, art. 108.</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Funciones y procedimientos de la Comisión Paritaria: Libro I, Título III, Capítulo I, art. 109.</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Igualdad de oportunidades y no discriminación: Libro I, Título IV, art. 115.</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Una vez finalizada las distintas vigencias de los anteriores números 1 y 2 se aplicará lo establecido en el vigente art. 86.3 del Estatuto de los Trabajadores y en la Disposición Adicional Primera, apartado 2, del Real Decreto-ley 7/2011, de 10 de junio, de manera que para evitar el vacío normativo que en otro caso se produciría y una vez terminada su vigencia inicial o la de cualquiera de sus prórrogas, continuará rigiendo el Convenio tanto en su contenido normativo como en el obligacional hasta que sea sustituido por otro.</w:t>
      </w:r>
    </w:p>
    <w:p>
      <w:pPr>
        <w:pStyle w:val="style0"/>
        <w:shd w:fill="FFFFFF" w:val="clear"/>
        <w:spacing w:after="28" w:before="28" w:line="300" w:lineRule="atLeast"/>
        <w:jc w:val="both"/>
      </w:pPr>
      <w:bookmarkStart w:id="23" w:name="LOC_ART.8"/>
      <w:bookmarkStart w:id="24" w:name="SE13"/>
      <w:bookmarkEnd w:id="23"/>
      <w:bookmarkEnd w:id="24"/>
      <w:r>
        <w:rPr>
          <w:rFonts w:ascii="Verdana" w:cs="Times New Roman" w:eastAsia="Times New Roman" w:hAnsi="Verdana"/>
          <w:b/>
          <w:bCs/>
          <w:caps/>
          <w:color w:val="0087AD"/>
          <w:sz w:val="17"/>
          <w:lang w:eastAsia="es-ES"/>
        </w:rPr>
        <w:t>ARTÍCULO 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Procedimiento de denuncia para la revisión del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Cualquiera de las dos partes firmantes del presente Convenio podrá solicitar por escrito a la otra la revisión del mismo con un mínimo de tres meses de antelación al vencimiento del plazo inicial de las vigencias señaladas en el artículo anterior o de cualquiera de sus prórrogas.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parte que formule la denuncia deberá acompañar propuesta concreta sobre los puntos y contenido que comprenda la revisión solicitada. De esta comunicación y de la propuesta se enviará copia, a efectos de registro, a la Dirección General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 negociación del nuevo Convenio, una vez denunciado el anterior, deberá comenzar en el plazo máximo de un mes a partir de la recepción de la comunicación de la denuncia, constituyéndose en ese plazo la Comisión Negociadora.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El plazo máximo para la negociación del nuevo Convenio, en su caso, será de ocho meses a partir del momento de expirar la vigencia del Convenio anterior, salvo para las materias contempladas en el art. 7.2. del presente convenio para los que el plazo será de 14 meses.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Para solventar de manera efectiva las discrepancias existentes tras el transcurso de los plazos máximos de negociación establecidos en el apartado anterior sin alcanzarse un acuerdo, las partes se adhieren y someten a los procedimientos no judiciales de solución de conflictos establecidos o que puedan establecerse mediante acuerdos interprofesionales de ámbito estatal.</w:t>
      </w:r>
    </w:p>
    <w:p>
      <w:pPr>
        <w:pStyle w:val="style0"/>
        <w:shd w:fill="FFFFFF" w:val="clear"/>
        <w:spacing w:after="28" w:before="28" w:line="300" w:lineRule="atLeast"/>
        <w:jc w:val="both"/>
      </w:pPr>
      <w:bookmarkStart w:id="25" w:name="LOC_ART.9"/>
      <w:bookmarkStart w:id="26" w:name="SE14"/>
      <w:bookmarkEnd w:id="25"/>
      <w:bookmarkEnd w:id="26"/>
      <w:r>
        <w:rPr>
          <w:rFonts w:ascii="Verdana" w:cs="Times New Roman" w:eastAsia="Times New Roman" w:hAnsi="Verdana"/>
          <w:b/>
          <w:bCs/>
          <w:caps/>
          <w:color w:val="0087AD"/>
          <w:sz w:val="17"/>
          <w:lang w:eastAsia="es-ES"/>
        </w:rPr>
        <w:t>ARTÍCULO 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Vinculación a la totalidad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condiciones pactadas en el presente Convenio, cualquiera que sea su naturaleza y contenido, forman un todo orgánico e indivisible y, a efectos de su aplicación práctica, serán consideradas globalmente, asumiendo las partes su cumplimiento con vinculación a la totalidad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el supuesto de que la autoridad o jurisdicción competente, en uso de las facultades que le son propias, no aprobara o resolviera dejar sin efecto alguna de las cláusulas de este Convenio, éste deberá ser revisado y reconsiderarse en su integridad. A estos efectos, las partes signatarias de este Convenio se comprometen a reunirse dentro de los diez días hábiles siguientes al de la firmeza de la resolución correspondiente con el objeto de resolver el problema planteado. Si en el plazo de cuarenta y cinco días hábiles a partir de la fecha de la firmeza de la resolución en cuestión las partes signatarias no alcanzasen un acuerdo, se comprometen a fijar el calendario de reuniones para la negociación del Convenio en su totalidad.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los convenios colectivos comprendidos en los ámbitos previstos en el presente Convenio se incluirá una cláusula de vinculación a la totalidad.</w:t>
      </w:r>
    </w:p>
    <w:p>
      <w:pPr>
        <w:pStyle w:val="style0"/>
        <w:shd w:fill="FFFFFF" w:val="clear"/>
        <w:spacing w:after="28" w:before="28" w:line="300" w:lineRule="atLeast"/>
        <w:jc w:val="both"/>
      </w:pPr>
      <w:bookmarkStart w:id="27" w:name="LOC_ART.10"/>
      <w:bookmarkStart w:id="28" w:name="SE15"/>
      <w:bookmarkEnd w:id="27"/>
      <w:bookmarkEnd w:id="28"/>
      <w:r>
        <w:rPr>
          <w:rFonts w:ascii="Verdana" w:cs="Times New Roman" w:eastAsia="Times New Roman" w:hAnsi="Verdana"/>
          <w:b/>
          <w:bCs/>
          <w:caps/>
          <w:color w:val="0087AD"/>
          <w:sz w:val="17"/>
          <w:lang w:eastAsia="es-ES"/>
        </w:rPr>
        <w:t>ARTÍCULO 10.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más beneficiosas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respetarán las condiciones más beneficiosas que los trabajadores tengan reconocidas a título personal por las empresas al entrar en vigor este Convenio o cualquier otro de ámbito inferior, siempre y cuando fuesen más favorables, consideradas en su conjunto y en cómputo anual, respecto a los conceptos cuantificables.</w:t>
      </w:r>
    </w:p>
    <w:p>
      <w:pPr>
        <w:pStyle w:val="style0"/>
        <w:shd w:fill="FFFFFF" w:val="clear"/>
        <w:spacing w:after="28" w:before="28" w:line="300" w:lineRule="atLeast"/>
        <w:jc w:val="both"/>
      </w:pPr>
      <w:bookmarkStart w:id="29" w:name="SE16"/>
      <w:bookmarkEnd w:id="29"/>
      <w:r>
        <w:rPr>
          <w:rFonts w:ascii="Verdana" w:cs="Times New Roman" w:eastAsia="Times New Roman" w:hAnsi="Verdana"/>
          <w:b/>
          <w:bCs/>
          <w:color w:val="0087AD"/>
          <w:sz w:val="21"/>
          <w:lang w:eastAsia="es-ES"/>
        </w:rPr>
        <w:t>CAPÍTULO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ESTRUCTURA DE LA NEGOCIACIÓN COLECTIVA</w:t>
      </w:r>
    </w:p>
    <w:p>
      <w:pPr>
        <w:pStyle w:val="style0"/>
        <w:shd w:fill="FFFFFF" w:val="clear"/>
        <w:spacing w:after="28" w:before="28" w:line="300" w:lineRule="atLeast"/>
        <w:jc w:val="both"/>
      </w:pPr>
      <w:bookmarkStart w:id="30" w:name="LOC_ART.11"/>
      <w:bookmarkStart w:id="31" w:name="SE17"/>
      <w:bookmarkEnd w:id="30"/>
      <w:bookmarkEnd w:id="31"/>
      <w:r>
        <w:rPr>
          <w:rFonts w:ascii="Verdana" w:cs="Times New Roman" w:eastAsia="Times New Roman" w:hAnsi="Verdana"/>
          <w:b/>
          <w:bCs/>
          <w:caps/>
          <w:color w:val="0087AD"/>
          <w:sz w:val="17"/>
          <w:lang w:eastAsia="es-ES"/>
        </w:rPr>
        <w:t>ARTÍCULO 11.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Estructura de la negociación colectiva del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virtud del presente Convenio y de conformidad con los arts. 83.2 y 84.2 del E.T., la estructura de la negociación colectiva en el sector de la construcción se articula en los siguientes niveles sustantivos de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Convenio General del Sector de la Construcción: establece la estructura de la negociación colectiva en el sector y su contenido regula las condiciones generales de trabajo a aplicar en todo el ámbito sectorial y con la vigencia que en el propio Convenio se establece buscando una homogeneización de las condiciones laborales de los trabajadores, facilitando su movilidad y protegiendo la unidad de mercado.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Acuerdos Sectoriales: los acuerdos sectoriales de carácter estatal que se negocien con posterioridad a la entrada en vigor de este Convenio General se integrarán automáticamente como capítulos orgánicamente constitutivos del mismo, previa intervención de la Comisión Paritaria del Sector. Estos acuerdos podrán tener por objeto, entre otras materias,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aplicación concreta en el sector de acuerdos interconfederales.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Cualesquiera otras materias que las partes acuerden.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materias reguladas en los Acuerdos Sectoriales tendrán la misma prioridad aplicativa que corresponda de acuerdo con los criterios determinados en el art. 13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Convenios Colectivos Provinciales o, en su caso, de Comunidad Autónoma y de ámbito inferior: serán de renovación periódica y tienen por objeto desarrollar las materias propias de su respectivo ámbito de negociación así como aplicar en él los contenidos del presente Convenio y, en su caso, de los acuerdos de ámbito sectorial nacional que se puedan producir durante la vigencia del Convenio General.</w:t>
      </w:r>
    </w:p>
    <w:p>
      <w:pPr>
        <w:pStyle w:val="style0"/>
        <w:shd w:fill="FFFFFF" w:val="clear"/>
        <w:spacing w:after="28" w:before="28" w:line="300" w:lineRule="atLeast"/>
        <w:jc w:val="both"/>
      </w:pPr>
      <w:bookmarkStart w:id="32" w:name="LOC_ART.12"/>
      <w:bookmarkStart w:id="33" w:name="SE18"/>
      <w:bookmarkEnd w:id="32"/>
      <w:bookmarkEnd w:id="33"/>
      <w:r>
        <w:rPr>
          <w:rFonts w:ascii="Verdana" w:cs="Times New Roman" w:eastAsia="Times New Roman" w:hAnsi="Verdana"/>
          <w:b/>
          <w:bCs/>
          <w:caps/>
          <w:color w:val="0087AD"/>
          <w:sz w:val="17"/>
          <w:lang w:eastAsia="es-ES"/>
        </w:rPr>
        <w:t>ARTÍCULO 12.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Articulación de la negociación colectiva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desarrollo de los arts. 83 y 84 del E.T. así como en cumplimiento de lo previsto en la Ley 32/2006, de 18 de octubre, reguladora de la subcontratación en el Sector de la Construcción, se establecen los criterios en base a los que queda fijada la articulación de la negociación colectiva en 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Las materias contenidas en el presente Convenio tendrán prioridad aplicativa sobre cualesquiera otras disposiciones, salvo en aquellas en las que exista remisión a otros ámbitos de negociación. En estos supuestos habrá que estar al carácter, contenidos y alcance con que esté contemplada la remisión.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aquellas materias en que así se establece expresamente, el presente Convenio tendrá carácter de norma exclusiva, en atención a su singular naturaleza. A estos efectos se enumeran a continuación las materias que no podrán ser negociadas en ámbitos inferiores, quedando como aspectos reservados de forma exclusiva a la negociación de ámbito estatal la totalidad de artículos comprendidos en el correspondiente Libro, Título y Capítulo siguientes: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Inaplicación de condiciones de trabajo: Libro I, Título Preliminar, Capítulo III, arts. 14 al 17.</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Condiciones generales de prestación de trabajo: Libro I, Título I, Capítulos I al XII, arts. 18 al 104.</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Contratación: Libro I, Título I, Capítulo II, arts. 22 al 25.</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Subcontratación: Libro I, Título I, Capítulo II, art. 26.</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Subrogación: Libro I, Título I, Capítulo II, art. 27.</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Clasificación profesional, grupos y áreas funcionales: Libro I, Título I, Capítulo III, art. 28.</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Productividad y/o tablas de rendimientos de alcance nacional: Libro I, Título I, Capítulo V, arts. 37 al 45.</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Conceptos, estructura y cuantía de las percepciones económicas e incrementos, tanto las salariales como las no salariales, salvo las percepciones no cuantificadas numérica o porcentualmente en el presente Convenio: Libro I, Título I, Capítulo VII, arts. 47 al 67.</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Modificaciones de las condiciones de trabajo: Libro I, Título I, Capítulo VII y VIII, arts. 47 al 74.</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Régimen de indemnizaciones: Libro I, Título I, Capítulo VII, art. 66.</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Jornada anual y descansos: Libro I, Título I, Capítulo VIII, arts. 68 a 72.</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Vacaciones anuales, licencias y permisos: Libro I, Título I, Capítulo VIII, arts. 73 y 74.</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Movilidad geográfica y funcional: Libro I, Título I, Capítulo IX y X, arts. 75 al 89.</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Suspensión, extinción de la relación laboral: Libro I, Título I, Capítulo XI, arts. 90 al 96.</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Jubilación: Libro I, Título I, Capítulo XI, art. 97.</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Condiciones básicas del régimen disciplinario: Libro I, Título I, Capítulo XII, arts. 98 al 104.</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Cuota a la Fundación Laboral de la Construcción: Libro I, Título V, art. 116.</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Órganos de representación de los trabajadores en la empresa: Libro I, Título II, arts. 105 al 107.</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Disposiciones mínimas de seguridad y salud en el trabajo: Libro II, Títulos IV, Capítulos I al VII y Título V, arts. 180 al 249.</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Información y formación en seguridad y salud: Libro II, Título III, Capítulos I al IV, arts. 136 al 179.</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Acreditación de la formación y Tarjeta Profesional de la Construcción: Libro II, Título III, Capítulo IV, Secciones I a IV, arts. 167 al 179.</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Órgano Paritario para la Prevención en la Construcción: Libro II, Título I, Capítulos I al V, arts. 118 al 134.</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representaciones sindicales y empresariales firmantes expresan su voluntad de que este Convenio General constituya referencia eficaz para establecer las relaciones laborales en todo el sector de la construcción. A tal fin establecen que los ámbitos inferiores al estatal se deberán remitir a este Convenio General en todas las materias aquí reguladas, así como en calidad de derecho supletorio en el caso de que se alcancen convenios o acuerdos de ámbito inferior, conformes a los términos y requisitos del art. 84.2 del E.T.. Y todo ello dado el carácter de norma prevalente dotada de prioridad aplicativa absoluta que las partes le confieren al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De acuerdo con el art. 84.3 del E.T. las partes firmantes establecen que en el ámbito de una Comunidad Autónoma no podrán negociar acuerdos o convenios que afecten a lo dispuesto en el presente Convenio de ámbito estatal.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lo que respecta a la negociación colectiva de ámbito provincial o, en su caso, autonómico son materias específicas de esta concertación colectiva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El contenido obligacional de los convenios.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 concreción cuantitativa de las percepciones económicas no cuantificadas numérica o porcentualmente en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La distribución de la jornada anual de trabajo efectivo y su regulación en cuanto a horarios y calendarios.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Periodo de prueba.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Desarrollo del régimen disciplinario.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Concreción de todas aquellas medidas de flexibilidad en la empresa, tanto funcional como geográfica, no establecidas expresamente en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Aplicar en su respectivo ámbito los contenidos de los acuerdos de ámbito sectorial nacional que se puedan producir durante la vigencia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Cualesquiera otras materias no reguladas por los convenios de ámbito superior.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Cualesquiera otras materias remitidas por los convenios de ámbito superior a los de ámbito inferior.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Los Convenios de ámbito provincial o, en su caso, autonómicos serán prevalentes y por lo tanto gozarán de prioridad aplicativa sobre los convenios de ámbito inferior, y ello respecto de las materias específicamente citadas anteriormente, y de las acordadas en su ámbito.</w:t>
      </w:r>
    </w:p>
    <w:p>
      <w:pPr>
        <w:pStyle w:val="style0"/>
        <w:shd w:fill="FFFFFF" w:val="clear"/>
        <w:spacing w:after="28" w:before="28" w:line="300" w:lineRule="atLeast"/>
        <w:jc w:val="both"/>
      </w:pPr>
      <w:bookmarkStart w:id="34" w:name="LOC_ART.13"/>
      <w:bookmarkStart w:id="35" w:name="SE19"/>
      <w:bookmarkEnd w:id="34"/>
      <w:bookmarkEnd w:id="35"/>
      <w:r>
        <w:rPr>
          <w:rFonts w:ascii="Verdana" w:cs="Times New Roman" w:eastAsia="Times New Roman" w:hAnsi="Verdana"/>
          <w:b/>
          <w:bCs/>
          <w:caps/>
          <w:color w:val="0087AD"/>
          <w:sz w:val="17"/>
          <w:lang w:eastAsia="es-ES"/>
        </w:rPr>
        <w:t>ARTÍCULO 13.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Reglas de concurrencia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conformidad con lo dispuesto en los arts. 83 y 84 del E.T., los supuestos de concurrencia entre los convenios de distinto ámbito se resolverán aplicando las siguientes reglas o principios: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Principio de jerarquía: será unidad preferente de negociación la de ámbito estatal, por lo que toda concurrencia conflictiva entre ésta y la de ámbitos inferiores se resolverá con sujeción al contenido material acordado en el presente Convenio General, sin perjuicio del respeto a las normas de derecho necesario establecidas en la legislación vigente en cada momento.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Principio de seguridad: los convenios de ámbito provincial que estén en vigor cuando inicie su eficacia el presente Convenio General mantendrán su vigencia en todo su contenido hasta la conclusión de su ámbito temporal, debiendo acogerse, en la siguiente negociación, a lo contenido en el Convenio General, sin perjuicio de que por acuerdo de las partes decidieran acogerse con anterioridad a las nuevas condiciones definidas en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Principios de complementariedad y subsidiariedad: el Convenio General del Sector complementa los contenidos de los convenios de ámbito inferior, siendo además derecho supletorio en todo lo no previsto expresamente en los mismos.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Principio de territorialidad: será de aplicación el convenio provincial o, en su caso, autonómico, vigente en el lugar de prestación efectiva de los servicios.</w:t>
      </w:r>
    </w:p>
    <w:p>
      <w:pPr>
        <w:pStyle w:val="style0"/>
        <w:shd w:fill="FFFFFF" w:val="clear"/>
        <w:spacing w:after="28" w:before="28" w:line="300" w:lineRule="atLeast"/>
        <w:jc w:val="both"/>
      </w:pPr>
      <w:bookmarkStart w:id="36" w:name="SE20"/>
      <w:bookmarkEnd w:id="36"/>
      <w:r>
        <w:rPr>
          <w:rFonts w:ascii="Verdana" w:cs="Times New Roman" w:eastAsia="Times New Roman" w:hAnsi="Verdana"/>
          <w:b/>
          <w:bCs/>
          <w:color w:val="0087AD"/>
          <w:sz w:val="21"/>
          <w:lang w:eastAsia="es-ES"/>
        </w:rPr>
        <w:t>CAPÍTULO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INAPLICACIÓN DE CONDICIONES DE TRABAJO</w:t>
      </w:r>
    </w:p>
    <w:p>
      <w:pPr>
        <w:pStyle w:val="style0"/>
        <w:shd w:fill="FFFFFF" w:val="clear"/>
        <w:spacing w:after="28" w:before="28" w:line="300" w:lineRule="atLeast"/>
        <w:jc w:val="both"/>
      </w:pPr>
      <w:bookmarkStart w:id="37" w:name="LOC_ART.14"/>
      <w:bookmarkStart w:id="38" w:name="SE21"/>
      <w:bookmarkEnd w:id="37"/>
      <w:bookmarkEnd w:id="38"/>
      <w:r>
        <w:rPr>
          <w:rFonts w:ascii="Verdana" w:cs="Times New Roman" w:eastAsia="Times New Roman" w:hAnsi="Verdana"/>
          <w:b/>
          <w:bCs/>
          <w:caps/>
          <w:color w:val="0087AD"/>
          <w:sz w:val="17"/>
          <w:lang w:eastAsia="es-ES"/>
        </w:rPr>
        <w:t>ARTÍCULO 14.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Concepto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 el objeto de establecer el marco que posibilite un mayor grado de estabilidad respecto del empleo en el sector, se considera preciso establecer mecanismos que conduzcan a la aplicación de aquellas medidas que, con carácter preventivo y coyuntural, se dirijan a favorecer aquél y ello mediante la suspensión, siempre con carácter temporal, de la aplicación efectiva del Convenio sobre determinadas condiciones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Dichas medidas tendrán por objeto la inaplicación temporal y efectiva del Convenio, todo ello dentro del marco legal y convencional establecido.</w:t>
      </w:r>
    </w:p>
    <w:p>
      <w:pPr>
        <w:pStyle w:val="style0"/>
        <w:shd w:fill="FFFFFF" w:val="clear"/>
        <w:spacing w:after="28" w:before="28" w:line="300" w:lineRule="atLeast"/>
        <w:jc w:val="both"/>
      </w:pPr>
      <w:bookmarkStart w:id="39" w:name="LOC_ART.15"/>
      <w:bookmarkStart w:id="40" w:name="SE22"/>
      <w:bookmarkEnd w:id="39"/>
      <w:bookmarkEnd w:id="40"/>
      <w:r>
        <w:rPr>
          <w:rFonts w:ascii="Verdana" w:cs="Times New Roman" w:eastAsia="Times New Roman" w:hAnsi="Verdana"/>
          <w:b/>
          <w:bCs/>
          <w:caps/>
          <w:color w:val="0087AD"/>
          <w:sz w:val="17"/>
          <w:lang w:eastAsia="es-ES"/>
        </w:rPr>
        <w:t>ARTÍCULO 15.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Materias afectadas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tal efecto la inaplicación o suspensión temporal podrá afectar a las siguientes materias establecidas en el convenio colectivo de ámbito superior a la empresa que resulte aplicable y todo ello sin perjuicio de lo establecido en el art. 41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Régimen salarial.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Horario, distribución de la jornada y del tiempo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Régimen de trabajo a turnos.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Funciones, cuando excedan de los límites que para la movilidad funcional prevé el art. 39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Sistema de trabajo y rendimiento.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Sistema de remuneración.</w:t>
      </w:r>
    </w:p>
    <w:p>
      <w:pPr>
        <w:pStyle w:val="style0"/>
        <w:shd w:fill="FFFFFF" w:val="clear"/>
        <w:spacing w:after="28" w:before="28" w:line="300" w:lineRule="atLeast"/>
        <w:jc w:val="both"/>
      </w:pPr>
      <w:bookmarkStart w:id="41" w:name="LOC_ART.16"/>
      <w:bookmarkStart w:id="42" w:name="SE23"/>
      <w:bookmarkEnd w:id="41"/>
      <w:bookmarkEnd w:id="42"/>
      <w:r>
        <w:rPr>
          <w:rFonts w:ascii="Verdana" w:cs="Times New Roman" w:eastAsia="Times New Roman" w:hAnsi="Verdana"/>
          <w:b/>
          <w:bCs/>
          <w:caps/>
          <w:color w:val="0087AD"/>
          <w:sz w:val="17"/>
          <w:lang w:eastAsia="es-ES"/>
        </w:rPr>
        <w:t>ARTÍCULO 16.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Causas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podrá proceder a la inaplicación, en los términos regulados en el presente artículo, cuando la empresa alternativamente tenga o una disminución persistente de su nivel de ingresos o su situación y perspectivas económicas puedan verse afectadas negativamente afectando a las posibilidades de mantenimiento del empleo; estas causas se entenderán que concurren, entre otros supuestos, cuando el «resultado de explotación por empleado» (es decir dicho resultado dividido entre el número promedio de empleados equivalentes a jornada completa del correspondiente periodo) o de «ventas» a nivel nacional de la empresa en el último ejercicio o en los doce últimos meses sea inferior en un 12 por ciento al promedio del resultado de explotación por empleado o ventas en el respectivo ejercicio anterior o en los doce meses precedentes a los últimos tomados, considerándose por tanto que existe una causa objetiva para la inaplicación.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efectos indemnizatorios, en los casos de extinciones derivadas del art. 50 del E.T. o de despidos reconocidos o declarados improcedentes por causas ajenas a la voluntad del trabajador durante la inaplicación del Convenio se tomará como base del salario el que se debería percibir en el caso de que no se inaplicarse el Convenio.</w:t>
      </w:r>
    </w:p>
    <w:p>
      <w:pPr>
        <w:pStyle w:val="style0"/>
        <w:shd w:fill="FFFFFF" w:val="clear"/>
        <w:spacing w:after="28" w:before="28" w:line="300" w:lineRule="atLeast"/>
        <w:jc w:val="both"/>
      </w:pPr>
      <w:bookmarkStart w:id="43" w:name="LOC_ART.17"/>
      <w:bookmarkStart w:id="44" w:name="SE24"/>
      <w:bookmarkEnd w:id="43"/>
      <w:bookmarkEnd w:id="44"/>
      <w:r>
        <w:rPr>
          <w:rFonts w:ascii="Verdana" w:cs="Times New Roman" w:eastAsia="Times New Roman" w:hAnsi="Verdana"/>
          <w:b/>
          <w:bCs/>
          <w:caps/>
          <w:color w:val="0087AD"/>
          <w:sz w:val="17"/>
          <w:lang w:eastAsia="es-ES"/>
        </w:rPr>
        <w:t>ARTÍCULO 17.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Procedimiento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empresas en las que concurran algunas de las causas de inaplicación previstas en el artículo anterior comunicarán a los representantes de los trabajadores su deseo de acogerse a la misma.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los supuestos de ausencia de representantes de los trabajadores en la empresa, se entenderá atribuida a los sindicatos más representativos del sector que estuvieran legitimados para formar parte de la Comisión Negociadora del Convenio Colectivo de aplicación a la misma, salvo que los trabajadores atribuyan su representación a una comisión designada conforme a lo dispuesto en el art. 41.4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ambos casos se comunicará el inicio del procedimiento a la Comisión Paritaria del convenio provincial, o en su caso autonómico, o estatal.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procedimiento se iniciará a partir de la comunicación de la empresa, abriéndose un período de consultas con la representación de los trabajadores o comisión designada o las secciones sindicales cuando éstas así lo acuerden, siempre que sumen la mayoría de los miembros del Comité de Empresa o entre los delegados de personal.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Dicho período, que tendrá una duración no superior a 15 días, versará sobre las causas motivadoras de la decisión empresarial, debiendo facilitar la empresa junto con la comunicación citada en el párrafo anterior, la documentación que avale y justifique su solicitud; entre otra posible y a meros efectos enunciativos se señala la siguiente: Memoria explicativa, Cuentas auditadas y/o presentadas en el Registro Mercantil, Balance de situación y cuenta de resultados y Avance de cuentas anuales previstas, o en defecto de la anterior la documentación de carácter similar que se adecue a las concretas circunstancias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la inaplicación se fundamenta en el indicado porcentaje de descenso sobre el «Resultado de explotación» o de «ventas» se deberá aportar la documentación de la cual se desprenda la situación de la empresa y que deberá estar necesariamente auditada o, en su caso, inscrita en el Registro Mercantil.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el período de consultas finalice con acuerdo, se presumirá que concurre alguna de las posibles causas identificadas como de inaplicación en el artículo anterior y sólo podrá ser impugnado ante la jurisdicción competente por la existencia de fraude, dolo, coacción o abuso de derecho en su conclusión.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acuerdo deberá ser notificado a la Comisión Paritaria del Convenio Colectivo afectado, quien a su vez remitirá copia del mismo a la Comisión Paritaria Estatal.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acuerdo de inaplicación deberá determinar con exactitud, según sean las materias afectadas de acuerdo a lo establecido en el art. 15, tanto la retribución a percibir por los trabajadores como, en su caso, la concreción de las restantes y posibles materias inaplicadas.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Junto con la determinación y concreción mencionadas, el acuerdo deberá establecer, en su caso y en atención a la desaparición de las causas que lo determinaron, una progresiva convergencia hacia la recuperación de las posibles materias afectadas por la inaplicación. En ningún caso dicha inaplicación podrá tener una duración superior a tres años.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acuerdo de inaplicación y la programación de la recuperación de las distintas y posibles materias afectadas no podrá suponer el incumplimiento de las obligaciones establecidas en convenio relativas a la eliminación de las discriminaciones retributivas por razones de género así como las establecidas en materia de «jornada» y «horario y distribución de tiempo de trabajo» en la Ley para la Igualdad efectiva de mujeres y hombres.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caso de desacuerdo y una vez finalizado el período de consultas, las partes remitirán a la Comisión Paritaria del Convenio afectado la documentación aportada junto con el Acta recogida en el Anexo VIII acompañada de las alegaciones que, respectivamente, hayan podido realizar.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Comisión, una vez examinado los documentos aportados, deberá pronunciarse sobre si en la empresa solicitante concurren o no alguna/s de las causas de inaplicación previstas en el artículo anterior.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la Comisión Paritaria lo considera necesario, recabará la documentación complementaria que estime oportuna así como los asesoramientos técnicos pertinentes.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el convenio afectado sea bien provincial o afecte a una comunidad autónoma uniprovincial será competente para conocer la solicitud de inaplicación la Comisión Paritaria Provincial.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los convenios afectados correspondan a dos o más provincias o a una comunidad autónoma, la competencia la ostentará la Comisión Paritaria del Convenio Estatal, o en su caso autonómico, a la que se le remitirá, junto con el Acta del Anexo VIII, toda la documentación aportada por la empresa acompañada de las alegaciones que hayan podido efectuarse.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Esta Comisión será igualmente competente para el caso de que los convenios afectados sean supraautonómicos.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Dado que la inaplicación de condiciones de trabajo es materia reservada al ámbito estatal, la Comisión Paritaria Estatal, cuando así lo considere necesario y previa audiencia de las partes, podrá intervenir en la tramitación y/o resolución final que pueda adoptarse sobre las solicitudes planteadas ante las Comisiones Provinciales o, en su caso, de ámbito superior.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Tanto la Comisión Paritaria del Convenio Provincial, o en su caso Autonómico, como la Estatal dispondrán de un plazo máximo de 7 días para resolver la inaplicación solicitada, debiendo adoptarse los acuerdos por unanimidad.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su caso, la Comisión deberá determinar con exactitud las materias afectadas por la inaplicación así como determinar y concretar tanto sus términos como el calendario de la progresiva convergencia hacia el retorno de las condiciones suspendidas. A tal efecto deberá tener en cuenta el plazo máximo de inaplicación establecido así como la imposibilidad de incumplir las obligaciones anteriormente citadas y relativas a la discriminación retributiva y a la que pudiese afectar a la jornada, horario y distribución del tiempo de trabajo y referida a la Ley para la Igualdad.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En el supuesto de que la Comisión Paritaria competente no alcance acuerdo, y dando cumplimiento al mandato recibido por las partes contenido en el Anexo VIII del presente Convenio, las discrepancias se someterán a un arbitraje vinculante en cuyo caso el laudo arbitral tendrá la misma eficacia que los acuerdos en período de consultas y sólo será recurrible conforme al procedimiento y en su caso a los motivos establecidos en el art. 91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Tal y como señala el Anexo VIII del presente Convenio y a los efectos del sometimiento a arbitraje, será la propia Comisión Paritaria competente la que en el plazo de los cinco días siguientes a la finalización del plazo para resolver remitirá las actuaciones y documentación al correspondiente Servicio Interconfederal de Mediación y Arbitraje (SIMA) u otro organismo equivalente al que se hayan adherido en el ámbito correspondiente.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la Comisión Paritaria competente fue la provincial las actuaciones las remitirá al SIMA de la provincia correspondiente.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la competencia haya estado atribuida a la Comisión Paritaria Estatal, las actuaciones se remitirán por ésta al SIMA Estatal.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acuerdo con lo anterior el arbitraje se someterá y dictará con la intervención, formalidades y procedimiento establecidos en el vigente Acuerdo sobre Solución Extrajudicial de Conflictos y asumido por el vigente Convenio Sectorial Estatal en el art. 117.</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Para el caso de que en el futuro y durante la vigencia del presente Capítulo referente a «Inaplicación de Condiciones de Trabajo», se estableciesen, mediante Acuerdos Interprofesionales que afecten al presente Convenio, nuevos procedimientos de aplicación general y directa para solventar las discrepancias, incluido el arbitraje vinculante, surgidos en la negociación de los acuerdos establecidos en los arts. 41.6 y 82.3 del E.T., las partes firmantes del presente Convenio Estatal se adaptarán, en su caso, a los procedimientos que se establezcan en los citados Acuerdos Interprofesionales.</w:t>
      </w:r>
    </w:p>
    <w:p>
      <w:pPr>
        <w:pStyle w:val="style0"/>
        <w:shd w:fill="FFFFFF" w:val="clear"/>
        <w:spacing w:after="28" w:before="28" w:line="300" w:lineRule="atLeast"/>
        <w:jc w:val="both"/>
      </w:pPr>
      <w:bookmarkStart w:id="45" w:name="SE25"/>
      <w:bookmarkEnd w:id="45"/>
      <w:r>
        <w:rPr>
          <w:rFonts w:ascii="Verdana" w:cs="Times New Roman" w:eastAsia="Times New Roman" w:hAnsi="Verdana"/>
          <w:b/>
          <w:bCs/>
          <w:color w:val="0087AD"/>
          <w:sz w:val="21"/>
          <w:lang w:eastAsia="es-ES"/>
        </w:rPr>
        <w:t>TÍTULO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DE PRESTACIÓN DEL TRABAJO</w:t>
      </w:r>
    </w:p>
    <w:p>
      <w:pPr>
        <w:pStyle w:val="style0"/>
        <w:shd w:fill="FFFFFF" w:val="clear"/>
        <w:spacing w:after="28" w:before="28" w:line="300" w:lineRule="atLeast"/>
        <w:jc w:val="both"/>
      </w:pPr>
      <w:bookmarkStart w:id="46" w:name="SE26"/>
      <w:bookmarkEnd w:id="46"/>
      <w:r>
        <w:rPr>
          <w:rFonts w:ascii="Verdana" w:cs="Times New Roman" w:eastAsia="Times New Roman" w:hAnsi="Verdana"/>
          <w:b/>
          <w:bCs/>
          <w:color w:val="0087AD"/>
          <w:sz w:val="21"/>
          <w:lang w:eastAsia="es-ES"/>
        </w:rPr>
        <w:t>CAPÍTULO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 DE INGRESO</w:t>
      </w:r>
    </w:p>
    <w:p>
      <w:pPr>
        <w:pStyle w:val="style0"/>
        <w:shd w:fill="FFFFFF" w:val="clear"/>
        <w:spacing w:after="28" w:before="28" w:line="300" w:lineRule="atLeast"/>
        <w:jc w:val="both"/>
      </w:pPr>
      <w:bookmarkStart w:id="47" w:name="LOC_ART.18"/>
      <w:bookmarkStart w:id="48" w:name="SE27"/>
      <w:bookmarkEnd w:id="47"/>
      <w:bookmarkEnd w:id="48"/>
      <w:r>
        <w:rPr>
          <w:rFonts w:ascii="Verdana" w:cs="Times New Roman" w:eastAsia="Times New Roman" w:hAnsi="Verdana"/>
          <w:b/>
          <w:bCs/>
          <w:caps/>
          <w:color w:val="0087AD"/>
          <w:sz w:val="17"/>
          <w:lang w:eastAsia="es-ES"/>
        </w:rPr>
        <w:t>ARTÍCULO 18.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Ingreso en 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admisión del personal se efectuará de acuerdo con las disposiciones generales vigentes sobre colocación, así como las disposiciones especiales según el tipo de trabajo o circunstancias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empresas están obligadas a comunicar a los servicios públicos de empleo, en el plazo de los diez días siguientes a su concertación, el contenido de los contratos de trabajo que celebren o las prórrogas de los mismos, deban o no formalizarse por escrito, en los términos previstos en el Real Decreto 1424/2002, de 27 de diciembre, por el que se regula el contenido de los Contratos de trabajo y de sus copias básicas a los servicios públicos de empleo, y el uso de medios telemáticos en relación con aquellos.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Asimismo la empresa deberá enviar o remitir a los citados servicios la copia básica de los contratos de trabajo, previamente entregada a la representación de los trabajadores, si la hubiere. En todo caso se le entregará una copia completa del contrato al trabajador contratado.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Se prohíbe emplear a trabajadores menores de 18 años para la ejecución de trabajos en las obras, sin perjuicio de lo establecido en el art. 25.4 referente al contrato para la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 acreditación de la categoría profesional por la Tarjeta Profesional de la Construcción no obliga a la empresa a la contratación del trabajador con esa categoría.</w:t>
      </w:r>
    </w:p>
    <w:p>
      <w:pPr>
        <w:pStyle w:val="style0"/>
        <w:shd w:fill="FFFFFF" w:val="clear"/>
        <w:spacing w:after="28" w:before="28" w:line="300" w:lineRule="atLeast"/>
        <w:jc w:val="both"/>
      </w:pPr>
      <w:bookmarkStart w:id="49" w:name="LOC_ART.19"/>
      <w:bookmarkStart w:id="50" w:name="SE28"/>
      <w:bookmarkEnd w:id="49"/>
      <w:bookmarkEnd w:id="50"/>
      <w:r>
        <w:rPr>
          <w:rFonts w:ascii="Verdana" w:cs="Times New Roman" w:eastAsia="Times New Roman" w:hAnsi="Verdana"/>
          <w:b/>
          <w:bCs/>
          <w:caps/>
          <w:color w:val="0087AD"/>
          <w:sz w:val="17"/>
          <w:lang w:eastAsia="es-ES"/>
        </w:rPr>
        <w:t>ARTÍCULO 19.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Pruebas de aptitud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empresas, previamente al ingreso, podrán realizar a los interesados las pruebas de selección, prácticas y psicotécnicas, que consideren necesarias para comprobar si su grado de aptitud y su preparación son adecuados a la categoría profesional y puesto de trabajo que vayan a desempeñar.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trabajador, con independencia de su categoría profesional y antes de su admisión en la empresa, será sometido a un control de salud, según se establece en el artículo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Una vez considerado apto, el trabajador contratado deberá aportar la documentación necesaria para la formalización del contrato de trabajo.</w:t>
      </w:r>
    </w:p>
    <w:p>
      <w:pPr>
        <w:pStyle w:val="style0"/>
        <w:shd w:fill="FFFFFF" w:val="clear"/>
        <w:spacing w:after="28" w:before="28" w:line="300" w:lineRule="atLeast"/>
        <w:jc w:val="both"/>
      </w:pPr>
      <w:bookmarkStart w:id="51" w:name="LOC_ART.20"/>
      <w:bookmarkStart w:id="52" w:name="SE29"/>
      <w:bookmarkEnd w:id="51"/>
      <w:bookmarkEnd w:id="52"/>
      <w:r>
        <w:rPr>
          <w:rFonts w:ascii="Verdana" w:cs="Times New Roman" w:eastAsia="Times New Roman" w:hAnsi="Verdana"/>
          <w:b/>
          <w:bCs/>
          <w:caps/>
          <w:color w:val="0087AD"/>
          <w:sz w:val="17"/>
          <w:lang w:eastAsia="es-ES"/>
        </w:rPr>
        <w:t>ARTÍCULO 20.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Vigilancia y control de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partes acuerdan una serie de disposiciones acerca de la vigilancia y control de la salud, que son las contenidas en los siguientes apartados, sin perjuicio de cuantas obligaciones y criterios se establecen, en cuanto a la vigilancia de la salud, en el art. 22 de la Ley 31/1995 de 8 de noviembre, de Prevención de Riesgos Laborales.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empresa garantizará a los trabajadores a su servicio la vigilancia de su estado de salud en función de los riesgos inherentes al puesto de trabajo, tanto en el momento previo a la admisión como con carácter periódico.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reconocimientos periódicos posteriores al de admisión serán de libre aceptación para el trabajador, si bien, a requerimiento de la empresa, deberá firmar la no aceptación cuando no desee someterse a dichos reconocimientos. No obstante, previo informe de la representación de los trabajadores, la empresa podrá establecer el carácter obligatorio del reconocimiento en los supuestos en que sea imprescindible para evaluar los efectos de las condiciones de trabajo sobre la salud de los trabajadores o para verificar si el estado de salud del trabajador puede constituir un peligro para el mismo, para los demás trabajadores o para otras personas relacionadas con la empresa. En particular, la vigilancia de la salud será obligatoria en todos aquellos trabajos de construcción en que existan riesgos por exposición a amianto, en los términos previstos en el Real Decreto 396/2006, de 31 de marzo, por el que se establecen las Disposiciones mínimas de seguridad y salud aplicables a los trabajos con riesgo de exposición al amianto.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ningún caso los costes de estos reconocimientos médicos podrán ser a cargo del trabajador y en los periódicos, además, los gastos de desplazamiento originados por los mismos serán a cargo de la respectiva empresa, quién podrá concertar dichos reconocimientos con entidades que cuenten con personal sanitario con competencia técnica, formación y capacidad acreditada.</w:t>
      </w:r>
    </w:p>
    <w:p>
      <w:pPr>
        <w:pStyle w:val="style0"/>
        <w:shd w:fill="FFFFFF" w:val="clear"/>
        <w:spacing w:after="28" w:before="28" w:line="300" w:lineRule="atLeast"/>
        <w:jc w:val="both"/>
      </w:pPr>
      <w:bookmarkStart w:id="53" w:name="LOC_ART.21"/>
      <w:bookmarkStart w:id="54" w:name="SE30"/>
      <w:bookmarkEnd w:id="53"/>
      <w:bookmarkEnd w:id="54"/>
      <w:r>
        <w:rPr>
          <w:rFonts w:ascii="Verdana" w:cs="Times New Roman" w:eastAsia="Times New Roman" w:hAnsi="Verdana"/>
          <w:b/>
          <w:bCs/>
          <w:caps/>
          <w:color w:val="0087AD"/>
          <w:sz w:val="17"/>
          <w:lang w:eastAsia="es-ES"/>
        </w:rPr>
        <w:t>ARTÍCULO 21.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Período de prueba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Salvo lo dispuesto en ámbitos inferiores podrá concertarse por escrito un período de prueba que en ningún caso podrá exceder de: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Técnicos titulados superiores y medios: seis meses.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Empleados: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Niveles III, excepto titulados medios, IV y V: tres meses.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Niveles VI al X: dos meses.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Resto de personal: quince días naturales.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Personal Operario: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Encargados y Capataces: un mes.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Resto de personal: quince días naturales.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Durante el período de prueba el trabajador tendrá los derechos y obligaciones correspondientes a su categoría profesional y puesto de trabajo que desempeñe como si fuera de plantilla, excepto los derivados de la resolución de la relación laboral que podrá producirse a instancia de cualquiera de las partes durante su transcurso sin necesidad de previo aviso y sin que ninguna de las partes tenga derecho a indemnización alguna, debiéndose comunicar el desistimiento por escrito.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Transcurrido el período de prueba sin que se haya producido el desistimiento, el contrato producirá plenos efectos, computándose el tiempo de los servicios prestados a efectos de permanencia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Los titulares de la Tarjeta Profesional de la Construcción expedida por la Fundación Laboral de la Construcción con contrato de fijo de obra u otra modalidad de contrato temporal, estarán exentos del período de prueba para los trabajos de su categoría profesional, siempre que conste en su Tarjeta Profesional haber acreditado su cumplimiento en cualquier empresa anterior.</w:t>
      </w:r>
    </w:p>
    <w:p>
      <w:pPr>
        <w:pStyle w:val="style0"/>
        <w:shd w:fill="FFFFFF" w:val="clear"/>
        <w:spacing w:after="28" w:before="28" w:line="300" w:lineRule="atLeast"/>
        <w:jc w:val="both"/>
      </w:pPr>
      <w:bookmarkStart w:id="55" w:name="SE31"/>
      <w:bookmarkEnd w:id="55"/>
      <w:r>
        <w:rPr>
          <w:rFonts w:ascii="Verdana" w:cs="Times New Roman" w:eastAsia="Times New Roman" w:hAnsi="Verdana"/>
          <w:b/>
          <w:bCs/>
          <w:color w:val="0087AD"/>
          <w:sz w:val="21"/>
          <w:lang w:eastAsia="es-ES"/>
        </w:rPr>
        <w:t>CAPÍTULO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CONTRATACIÓN</w:t>
      </w:r>
    </w:p>
    <w:p>
      <w:pPr>
        <w:pStyle w:val="style0"/>
        <w:shd w:fill="FFFFFF" w:val="clear"/>
        <w:spacing w:after="28" w:before="28" w:line="300" w:lineRule="atLeast"/>
        <w:jc w:val="both"/>
      </w:pPr>
      <w:bookmarkStart w:id="56" w:name="LOC_ART.22"/>
      <w:bookmarkStart w:id="57" w:name="SE32"/>
      <w:bookmarkEnd w:id="56"/>
      <w:bookmarkEnd w:id="57"/>
      <w:r>
        <w:rPr>
          <w:rFonts w:ascii="Verdana" w:cs="Times New Roman" w:eastAsia="Times New Roman" w:hAnsi="Verdana"/>
          <w:b/>
          <w:bCs/>
          <w:caps/>
          <w:color w:val="0087AD"/>
          <w:sz w:val="17"/>
          <w:lang w:eastAsia="es-ES"/>
        </w:rPr>
        <w:t>ARTÍCULO 22.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Contratación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ingreso al trabajo –que podrá realizarse de conformidad con cualquiera de las modalidades de contratación reguladas en el E.T., disposiciones complementarias y en el presente Convenio General– será para un puesto de trabajo concreto. Éste viene determinado por las tareas o funciones que desempeñe el trabajador, la categoría profesional que le corresponda dentro de la clasificación vigente y por el centro de trabajo donde se desempeñe la actividad, de manera que cualquier modificación en alguno de los factores anteriores constituye un cambio de puesto de trabajo.</w:t>
      </w:r>
    </w:p>
    <w:p>
      <w:pPr>
        <w:pStyle w:val="style0"/>
        <w:shd w:fill="FFFFFF" w:val="clear"/>
        <w:spacing w:after="28" w:before="28" w:line="300" w:lineRule="atLeast"/>
        <w:jc w:val="both"/>
      </w:pPr>
      <w:bookmarkStart w:id="58" w:name="LOC_ART.23"/>
      <w:bookmarkStart w:id="59" w:name="SE33"/>
      <w:bookmarkEnd w:id="58"/>
      <w:bookmarkEnd w:id="59"/>
      <w:r>
        <w:rPr>
          <w:rFonts w:ascii="Verdana" w:cs="Times New Roman" w:eastAsia="Times New Roman" w:hAnsi="Verdana"/>
          <w:b/>
          <w:bCs/>
          <w:caps/>
          <w:color w:val="0087AD"/>
          <w:sz w:val="17"/>
          <w:lang w:eastAsia="es-ES"/>
        </w:rPr>
        <w:t>ARTÍCULO 23.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Contrato fijo de plantilla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contrato fijo de plantilla es el que conciertan empresario y trabajador para la prestación laboral de éste en la empresa por tiempo indefinido. Ésta será la modalidad normal de contratación a realizar por empresarios y trabajadores en todos los centros de trabajo de carácter permanente.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Con el objeto de fomentar la contratación indefinida, se podrá usar esta modalidad contractual en los supuestos previstos en la legislación vigente.</w:t>
      </w:r>
    </w:p>
    <w:p>
      <w:pPr>
        <w:pStyle w:val="style0"/>
        <w:shd w:fill="FFFFFF" w:val="clear"/>
        <w:spacing w:after="28" w:before="28" w:line="300" w:lineRule="atLeast"/>
        <w:jc w:val="both"/>
      </w:pPr>
      <w:bookmarkStart w:id="60" w:name="LOC_ART.24"/>
      <w:bookmarkStart w:id="61" w:name="SE34"/>
      <w:bookmarkEnd w:id="60"/>
      <w:bookmarkEnd w:id="61"/>
      <w:r>
        <w:rPr>
          <w:rFonts w:ascii="Verdana" w:cs="Times New Roman" w:eastAsia="Times New Roman" w:hAnsi="Verdana"/>
          <w:b/>
          <w:bCs/>
          <w:caps/>
          <w:color w:val="0087AD"/>
          <w:sz w:val="17"/>
          <w:lang w:eastAsia="es-ES"/>
        </w:rPr>
        <w:t>ARTÍCULO 24.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Contrato fijo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Disposición Adicional Primera, apartado 2 de la Ley 35/2010, de 17 de septiembre, de Medidas Urgentes para la Reforma del Mercado de Trabajo y la Disposición Adicional Tercera de la Ley 32/2006, de 18 de octubre, Reguladora de la Ley de la Subcontratación en el Sector de la Construcción, otorgan a la negociación colectiva de ámbito estatal la facultad de adaptar al sector de la construcción el contrato de obra o servicio determinado regulado con carácter general en el art. 15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acuerdo con ello la indicada adaptación se realiza mediante el presente contrato que, además de los restantes caracteres que contiene, regula de forma específica el art. 15.1.a) y 5 y el art. 49.c) del E.T. para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Este contrato se concierta con carácter general para una sola obra, con independencia de su duración, y terminará cuando finalicen los trabajos del oficio y categoría del trabajador en dicha obra. Su formalización se hará siempre por escrito.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ello y con independencia de su duración, no será de aplicación lo establecido en el párrafo primero del art. 15. 1 a) del E.T., continuando manteniendo los trabajadores la condición de «fijos de obra», tanto en estos casos como en los supuestos de sucesión empresarial del 44 del E.T. o de subrogación regulado en el art. 27 del presente Convenio General.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Sin embargo, manteniéndose el carácter de único contrato, el personal fijo de obra, sin perder dicha condición de fijo de obra, podrá prestar servicios a una misma empresa en distintos centros de trabajo de una misma provincia siempre que exista acuerdo expreso para cada uno de los distintos centros sucesivos, durante un periodo máximo de 3 años consecutivos, salvo que los trabajos de su especialidad en la última obra se prolonguen más allá de dicho término, suscribiendo a tal efecto el correspondiente documento según el modelo que figura en el Anexo II y devengando los conceptos compensatorios que correspondan por sus desplazamientos.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este supuesto y con independencia de la duración total de la prestación, tampoco será de aplicación lo establecido tanto en el apartado 1.a) párrafo primero del art. 15 del E.T. como en el apartado 5, continuando manteniendo los trabajadores, como se ha indicado, la condición de «fijos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Teniendo en cuenta la especial configuración del sector de la construcción y sus necesidades, sobre todo en cuanto a la flexibilidad en la contratación y la estabilidad en el empleo del sector mejorando la seguridad y salud en el trabajo así como la formación de los trabajadores, y conforme a lo establecido en el apartado 2 de la Disposición Adicional Primera de la Ley de Medidas Urgentes para la Reforma del Mercado Laboral, no se producirá sucesión de contratos por la concertación de diversos contratos fijos de obra para diferentes puestos de trabajo en el sector, teniendo en cuenta la definición de puesto de trabajo dada en el art. 22 del presente Convenio, y por tanto no será de aplicación lo dispuesto en el párrafo 5º del art. 15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Por lo tanto la contratación, con o sin solución de continuidad, para diferente puesto de trabajo mediante dos o más contratos fijos de obra con la misma empresa o grupo de empresas en el periodo y durante el plazo establecido en el art. 15.5 del E.T., no comportará la adquisición de la condición establecida en dicho precepto.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tal efecto nos encontramos ante puestos de trabajo diferentes cuando se produce la modificación en alguno de los factores determinados en el art. 22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indicada adquisición de condición tampoco operará en el supuesto de producirse bien la sucesión empresarial establecida en el art. 44 del E.T. o la subrogación recogida en el art. 27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El cese de los trabajadores deberá producirse cuando la realización paulatina de las correspondientes unidades de obra hagan innecesario el número de los contratados para su ejecución, debiendo reducirse éste de acuerdo con la disminución real del volumen de obra realizada. Este cese deberá comunicarse por escrito al trabajador con una antelación de 15 días naturales. No obstante el empresario podrá sustituir este preaviso por una indemnización equivalente a la cantidad correspondiente a los días de preaviso omitidos calculada sobre los conceptos salariales de las tablas del Convenio aplicable, todo ello sin perjuicio de la notificación escrita del cese. La citada indemnización deberá incluirse en el recibo de salario con la liquidación correspondiente al cese.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Si se produjera la paralización temporal de una obra por causa imprevisible para el empresario y ajena a su voluntad, tras darse cuenta por la empresa a la representación de los trabajadores del centro o, en su defecto, a la Comisión Paritaria Provincial, operarán la terminación de obra y cese previsto en el apartado precedente, a excepción del preaviso. La representación de los trabajadores del centro o, en su defecto, la Comisión Paritaria Provincial, dispondrá, en su caso, de un plazo máximo improrrogable de una semana para su constatación a contar desde la notificación.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empresario contrae también la obligación de ofrecer de nuevo un empleo al trabajador cuando las causas de paralización de la obra hubieran desaparecido. Dicha obligación se entenderá extinguida cuando la paralización se convierta en definitiva. Previo acuerdo entre las partes, el personal afectado por esta terminación de obra podrá acogerse a lo regulado en el apartado 3 de este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Este supuesto no será de aplicación en el caso de paralización por conflicto laboral.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En todos los supuestos regulados en los apartados anteriores, y según lo previsto en la Disposición Adicional Primera, apartado 2, de la Ley de Medidas Urgentes para la Reforma del Mercado Laboral y en el art. 49.1.c) del E.T., se establece una indemnización por cese del 7 por ciento calculada sobre los conceptos salariales de las tablas del Convenio aplicables devengados durante la vigencia del contrato.</w:t>
      </w:r>
    </w:p>
    <w:p>
      <w:pPr>
        <w:pStyle w:val="style0"/>
        <w:shd w:fill="FFFFFF" w:val="clear"/>
        <w:spacing w:after="28" w:before="28" w:line="300" w:lineRule="atLeast"/>
        <w:jc w:val="both"/>
      </w:pPr>
      <w:bookmarkStart w:id="62" w:name="LOC_ART.25"/>
      <w:bookmarkStart w:id="63" w:name="SE35"/>
      <w:bookmarkEnd w:id="62"/>
      <w:bookmarkEnd w:id="63"/>
      <w:r>
        <w:rPr>
          <w:rFonts w:ascii="Verdana" w:cs="Times New Roman" w:eastAsia="Times New Roman" w:hAnsi="Verdana"/>
          <w:b/>
          <w:bCs/>
          <w:caps/>
          <w:color w:val="0087AD"/>
          <w:sz w:val="17"/>
          <w:lang w:eastAsia="es-ES"/>
        </w:rPr>
        <w:t>ARTÍCULO 25.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Otras modalidades de contratación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trabajadores que formalicen contratos de duración determinada, por circunstancias de la producción o por interinidad, tendrán derecho, una vez finalizado el contrato correspondiente por expiración del tiempo convenido, a percibir una indemnización de carácter no salarial por cese del 7 por 100 calculada sobre los conceptos salariales de las tablas del convenio aplicable devengados durante la vigencia del contrato.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También podrá concertarse el contrato de duración determinada previsto en el apartado 1.b) del art. 15 del E.T., contrato cuya duración máxima será de doce meses en un periodo de dieciocho meses, computándose dicha duración desde que se produzca la causa que justifica su celebración. En tal supuesto, se considerará que se produce la causa que justifica la celebración del citado contrato cuando se incremente el volumen de trabajo o se considere necesario aumentar el número de personas que realicen un determinado trabajo o presten un servicio.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Las empresas afectadas por este Convenio y las Empresas de Trabajo Temporal podrán concertar contratos de puesta a disposición.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conformidad con el art. 8.b) Ley 14/1994, de 1 de Junio, por la que se regulan las Empresas de Trabajo Temporal y el art. 17, apartado seis, de la Ley 35/2010, de 17 de Septiembre, de medidas urgentes para la reforma del mercado de trabajo, las empresas afectadas por el presente Convenio no podrán celebrar contratos de puesta a disposición para las ocupaciones, puestos de trabajo o tareas que expresamente se determinan en el Anexo VII de este Convenio, y ello por razón de los riesgos para la seguridad y salud en el trabajo asociados a los mismos. A estos contratos les será de aplicación las siguientes disposiciones: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trabajadores contratados para ser cedidos a empresas usuarias tendrán derecho durante los períodos de prestación de servicios en las mismas a la aplicación de las condiciones esenciales de trabajo y empleo que les corresponderían de haber sido contratados directamente por la empresa usuaria para ocupar el mismo puesto.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 estos efectos, se considerarán condiciones esenciales de trabajo y empleo las referidas a la remuneración, la duración de la jornada, las horas extraordinarias, los períodos de descanso, el trabajo nocturno, las vacaciones y los días festivos.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La remuneración comprenderá todas las retribuciones económicas, fijas o variables, establecidas para el puesto de trabajo a desarrollar en el convenio colectivo aplicable a la empresa usuaria que estén vinculadas a dicho puesto de trabajo. Deberá incluir, en todo caso, la parte proporcional correspondiente al descanso semanal, las pagas extraordinarias, los festivos y las vacaciones. Será responsabilidad de la empresa usuaria la cuantificación de las percepciones finales del trabajador y, a tal efecto, dicha empresa usuaria deberá consignar las retribuciones a que se refiere este párrafo en el contrato de puesta a disposición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Asimismo, los trabajadores contratados para ser cedidos tendrán derecho a que se les apliquen las mismas disposiciones que a los trabajadores de la empresa usuaria en materia de protección de las mujeres embarazadas y en período de lactancia, y de los menores, así como a la igualdad de trato entre hombres y mujeres y a la aplicación de las mismas disposiciones adoptadas con vistas a combatir las discriminaciones basadas en el sexo, la raza o el origen étnico, la religión o las creencias, la discapacidad, la edad o la orientación sexual.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Cuando el contrato se haya concertado por tiempo determinado el trabajador tendrá derecho, además, a recibir una indemnización económica a la finalización del contrato de puesta a disposición equivalente a la parte proporcional de la cantidad que resultaría de abonar una indemnización por cese del 7 por 100 calculada sobre todos los conceptos salariales de las tablas del convenio aplicable devengados durante la vigencia del contrato. En este caso la indemnización podrá ser prorrateada durante la vigencia del contrato.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Los trabajadores cedidos por las empresas de trabajo temporal deberán poseer la formación teórica y práctica en materia de prevención de riesgos laborales necesaria para el puesto de trabajo a desempeñar, teniendo en cuenta su cualificación y experiencia profesional y los riesgos a los que vaya a estar expuesto. Siempre que se posible esta formación se corresponderá con la prevista en el Libro II del presente Convenio colectivo. Los trabajadores cedidos deberán estar en posesión de la Tarjeta Profesional de la Construcción, cuando ello sea procedente.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Igualmente, tendrán derecho a la utilización de los servicios de transporte, de comedor, de guardería y otros servicios comunes e instalaciones colectivas de la empresa usuaria durante el plazo de duración del contrato de puesta a disposición en las mismas condiciones que los trabajadores contratados directamente por la empresa usuaria.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La empresa usuaria deberá informar a los trabajadores cedidos por empresas de trabajo temporal, sobre la existencia de puestos de trabajo vacantes, a fin de garantizarles las mismas oportunidades de acceder a puestos permanentes que a los trabajadores contratados directamente por aquélla. Esta información podrá facilitarse mediante un anuncio público en un lugar adecuado de la empresa o centro de trabajo, o mediante otros medios previstos en la negociación colectiva, que aseguren la transmisión de la información.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El contrato para la formación viene reglado, además de por el Real Decreto-ley 10/2011, de 26 de agosto, de medidas urgentes para la promoción del empleo de los jóvenes, el fomento de la estabilidad en el empleo y el mantenimiento del programa de recualificación profesional de las personas que agoten su protección por desempleo, por las siguientes disposiciones: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El sector reconoce la importancia que el contrato para la formación puede tener para la incorporación, con adecuada preparación, de determinados colectivos de jóvenes. Esta preparación debe recoger tanto el aspecto práctico de cada oficio como el conocimiento y adecuación al sistema educativo general. A este respecto, las partes firmantes manifiestan su interés en que la formación, teórica y práctica correspondiente a los contratos para la formación se lleve a cabo a través de las instituciones formativas de que se ha dotado 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El contrato para la formación y el aprendizaje tendrá por objeto la cualificación profesional de los trabajadores en un régimen de alternancia de actividad laboral retribuida en una empresa con actividad formativa recibida en el marco del sistema de formación profesional para el empleo o del sistema educativo, adecuado desempeño de un oficio o puesto de trabajo cualificado en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contrato para la formación se podrá celebrar con trabajadores mayores de dieciséis años y menores de veinticinco años que no tengan la titulación requerida para formalizar un contrato en prácticas en el oficio o puesto objeto de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En los contratos para la formación que se celebren con desempleados que se incorporen como alumnos-trabajadores a los programas públicos de empleo-formación, tales como los de escuelas taller, casas de oficios, talleres de empleo u otros que se puedan aprobar, el límite máximo de edad será el establecido en las disposiciones que regulen el contenido de los citados programas. Igualmente podrá celebrarse el contrato para la formación sin aplicación del límite máximo de edad anteriormente señalado, cuando se concierte con personas con discapacidad.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No podrán ser contratados bajo esta modalidad por razón de edad, los menores de dieciocho años para los oficios de vigilante, pocero y entibador, ni para aquellas tareas o puestos de trabajo que expresamente hayan sido declarados como especialmente tóxicos, penosos, peligrosos e insalubres.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La duración mínima del contrato será de un año y la máxima de dos, si bien podrá prorrogarse por doce meses más para los contratos a los que se refieren los apartados c) y e) precedente, o cuando ello sea necesario en atención a las necesidades del proceso formativo del trabajador en los términos que se establezcan por las normas vigentes, o en función de las necesidades organizativas o productivas de las empresas de acuerdo con lo dispuesto en el presente convenio, o cuando se celebre con trabajadores que no haya obtenido el título de graduado en Educación Secundaria Obligatoria.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formación en los contratos para la formación y el aprendizaje que se celebren con trabajadores que no haya obtenido el título de graduado en Educación Secundaria Obligatoria deberá permitir la obtención de dicho título.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se celebre por un plazo inferior al máximo establecido en el párrafo anterior, podrá prorrogarse antes de su terminación por acuerdo entre las partes, una o más veces, por períodos no inferiores a seis meses, sin que el tiempo acumulado, incluido el de las prórrogas, pueda exceder del referido plazo máximo. Cuando su duración sea superior a un año, la parte que formule la denuncia del mismo está obligada a notificar a la otra su terminación con una antelación mínima de quince días.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Expirada la duración máxima del contrato para la formación, el trabajador no podrá ser contratado bajo esta modalidad por la misma o distinta empresa. No se podrán celebrar contratos para la formación y el aprendizaje cuando el puesto de trabajo correspondiente al contrato haya sido desempeñado con anterioridad por el trabajador en la misma empresa por tiempo superior a doce meses. A estos efectos, la empresa podrá recabar del servicio público de empleo certificación en la que conste el tiempo que el trabajador ha estado contratado para la formación con anterioridad a la contratación que se pretende realizar.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Para la impartición de la enseñanza teórica, se adoptará como modalidad la de acumulación de horas en un día de la semana o bien el necesario para completar una semana entera de formación. En el contrato se deberá especificar el horario de enseñanza. En todo caso, la formación teórica de los contratos para la formación, así como la certificación de la formación recibida se ajustarán a lo establecido en el Real Decreto 395/2007, de 23 de marzo, por el que se regula el Subsistema de formación profesional para el empleo. El trabajador deberá recibir la formación inherente al contrato para la formación y el aprendizaje directamente en un centro formativo de la red a que se refiere la Disposición Adicional Quinta de la Ley Orgánica 5/2002, de 19 de junio, de las Cualificaciones y de la Formación Profesional, previamente reconocido para ello por el sistema nacional de empleo.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La actividad laboral desempeñada por el trabajador en la empresa deberá estar relacionada con las actividades formativas, que deberán comenzar en el plazo máximo de cuatro meses a contar desde la fecha de la celebración del contrato. Además el tipo de trabajo que debe prestar el trabajador en formación estará directamente relacionado con las tareas propias del nivel ocupacional, oficio o puesto de trabajo objeto de contrato. Entre estas tareas se incluyen las labores de limpieza y mantenimiento de los utensilios y herramientas empleados en la labor conjunta con la diligencia correspondiente a su aptitud y conocimientos profesionales.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empresario, en el contrato de trabajo, viene obligado a designar la persona que actuará como tutor del trabajador en formación, que deberá ser aquella que por su oficio o puesto cualificado desarrolle su actividad auxiliada por éste y que cuente con la cualificación o experiencia profesional adecuada. El propio empresario podrá asumir esta tarea, siempre que desarrolle su actividad profesional en la misma obra que el trabajador en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La retribución de los contratados para la formación se ajustará a los siguientes porcentajes, aplicables al salario del Nivel IX de las tablas de cada Convenio y referidos a una jornada del 100 por 100 de trabajo efectivo.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Colectivos de la letra c) y e) de este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w:t>
      </w:r>
      <w:r>
        <w:rPr>
          <w:rFonts w:ascii="Verdana" w:cs="Times New Roman" w:eastAsia="Times New Roman" w:hAnsi="Verdana"/>
          <w:color w:val="525252"/>
          <w:sz w:val="17"/>
          <w:szCs w:val="17"/>
          <w:vertAlign w:val="superscript"/>
          <w:lang w:eastAsia="es-ES"/>
        </w:rPr>
        <w:t>er</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año: 60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2º año: 70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w:t>
      </w:r>
      <w:r>
        <w:rPr>
          <w:rFonts w:ascii="Verdana" w:cs="Times New Roman" w:eastAsia="Times New Roman" w:hAnsi="Verdana"/>
          <w:color w:val="525252"/>
          <w:sz w:val="17"/>
          <w:szCs w:val="17"/>
          <w:vertAlign w:val="superscript"/>
          <w:lang w:eastAsia="es-ES"/>
        </w:rPr>
        <w:t>er</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año: 85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Colectivos de las letras d) de este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w:t>
      </w:r>
      <w:r>
        <w:rPr>
          <w:rFonts w:ascii="Verdana" w:cs="Times New Roman" w:eastAsia="Times New Roman" w:hAnsi="Verdana"/>
          <w:color w:val="525252"/>
          <w:sz w:val="17"/>
          <w:szCs w:val="17"/>
          <w:vertAlign w:val="superscript"/>
          <w:lang w:eastAsia="es-ES"/>
        </w:rPr>
        <w:t>er</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año: 95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2º año: 100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Aquellos convenios provinciales que a la entrada en vigor del presente Convenio tengan una retribución salarial superior a los porcentajes del primer párrafo de este punto, la mantendrán como condición más beneficiosa hasta ser alcanzado por éste, quedando en consecuencia congelados dichos salarios hasta su equiparación.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Los contratados en formación tendrán derecho, asimismo, a los pluses extrasalariales que, en su caso, se establezcan en cada convenio colectivo de ámbito inferior, en igual cuantía que el señalado para el resto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Con carácter general, la suspensión del contrato en virtud de las causas previstas en los arts. 45 y 46 del E.T. no comportará la ampliación de su duración, salvo pacto en contrario. No obstante, la situación de incapacidad temporal del contratado para la formación inferior a seis meses, comportará la ampliación de la duración del contrato por igual tiempo al que el contrato haya estado suspendido por esta causa. Las situaciones de incapacidad temporal, riesgo durante el embarazo, maternidad, adopción o acogimiento, riesgo durante la lactancia y paternidad interrumpirán el cómputo de la duración del contrato.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Si concluido el contrato, el contratado para la formación no continuase en la empresa, ésta le entregará un certificado acreditativo del tiempo trabajado con referencia al oficio objeto de la formación y del aprovechamiento que, a su juicio, ha obtenido en su formación práctica.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Fundación Laboral de la Construcción a través de sus centros propios o colaboradores, dará la calificación a través de las pruebas correspondientes, previamente homologadas, tanto del aprovechamiento teórico como práctico y decidirá su pase a la categoría de oficial.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Asimismo, el trabajador contratado para la formación tendrá derecho a una indemnización por cese del 4,5 por 100 calculado sobre los conceptos salariales de las tablas del convenio devengados durante la vigencia del contrato, calculados conforme a los criterios establecidos en la letra i) de este artículo.</w:t>
      </w:r>
    </w:p>
    <w:p>
      <w:pPr>
        <w:pStyle w:val="style0"/>
        <w:shd w:fill="FFFFFF" w:val="clear"/>
        <w:spacing w:after="28" w:before="28" w:line="300" w:lineRule="atLeast"/>
        <w:jc w:val="both"/>
      </w:pPr>
      <w:bookmarkStart w:id="64" w:name="LOC_ART.26"/>
      <w:bookmarkStart w:id="65" w:name="SE36"/>
      <w:bookmarkEnd w:id="64"/>
      <w:bookmarkEnd w:id="65"/>
      <w:r>
        <w:rPr>
          <w:rFonts w:ascii="Verdana" w:cs="Times New Roman" w:eastAsia="Times New Roman" w:hAnsi="Verdana"/>
          <w:b/>
          <w:bCs/>
          <w:caps/>
          <w:color w:val="0087AD"/>
          <w:sz w:val="17"/>
          <w:lang w:eastAsia="es-ES"/>
        </w:rPr>
        <w:t>ARTÍCULO 26.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Subcontratación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empresas que subcontraten con otras del sector la ejecución de obras o servicios responderán en los términos establecidos en el art. 42 del E.T. y en la Ley 32/2006, de 18 de octubre, Reguladora de la subcontratación en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Asimismo, se extenderá la responsabilidad a la indemnización de naturaleza no salarial por muerte, gran invalidez, incapacidad permanente absoluta o total derivadas de accidente de trabajo o enfermedad profesional pactada en el art. 67 del presente Convenio, quedando limitado el ámbito de esta responsabilidad exclusivamente respecto de los trabajadores de las empresas subcontratadas obligadas por este Convenio General.</w:t>
      </w:r>
    </w:p>
    <w:p>
      <w:pPr>
        <w:pStyle w:val="style0"/>
        <w:shd w:fill="FFFFFF" w:val="clear"/>
        <w:spacing w:after="28" w:before="28" w:line="300" w:lineRule="atLeast"/>
        <w:jc w:val="both"/>
      </w:pPr>
      <w:bookmarkStart w:id="66" w:name="LOC_ART.27"/>
      <w:bookmarkStart w:id="67" w:name="SE37"/>
      <w:bookmarkEnd w:id="66"/>
      <w:bookmarkEnd w:id="67"/>
      <w:r>
        <w:rPr>
          <w:rFonts w:ascii="Verdana" w:cs="Times New Roman" w:eastAsia="Times New Roman" w:hAnsi="Verdana"/>
          <w:b/>
          <w:bCs/>
          <w:caps/>
          <w:color w:val="0087AD"/>
          <w:sz w:val="17"/>
          <w:lang w:eastAsia="es-ES"/>
        </w:rPr>
        <w:t>ARTÍCULO 27.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Subrogación de personal en contratas de mantenimiento de carreteras o vías férreas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Al objeto de contribuir a garantizar el principio de estabilidad en el empleo de los trabajadores empleados por empresas y entidades de derecho público que se sucedan mediante cualquier modalidad contractual, total o parcialmente, en cualquier contrata de conservación y/o mantenimiento de autopistas, autovías, carreteras o vías férreas a que se refiere el art. 3, apartado b) y el Anexo l, apartado b) del presente Convenio colectivo, se establece, con carácter exclusivo para tales actividades, la obligación de subrogación del personal entre las empresas saliente y entrante, la cual se llevará a cabo conforme a los requisitos y condiciones que se detallan en el presente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lo sucesivo, el término «contrata» engloba con carácter genérico cualquier modalidad de contratación pública, referida a las actividades anteriormente descritas, que pasa a ser desempeñada, de modo parcial o total, por una determinada empresa, sociedad, organismo público u otro tipo de entidad, sea cual sea la forma jurídica que adopten.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todos los supuestos de finalización, pérdida, rescisión o cesión de una contrata, así como respecto de cualquier otra figura o modalidad que suponga la sustitución entre entidades, personas físicas o jurídicas que lleven a cabo la actividad de que se trata, los trabajadores de la empresa saliente adscritos a dicha contrata pasarán a adscribirse a la nueva empresa o entidad que vaya a realizar la actividad objeto de la contrata, respetando ésta los derechos y obligaciones que disfruten en la empresa sustituida.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Dado el carácter de mejora de la legislación vigente que supone la subrogación prevista en este artículo, se establece expresamente que tales derechos y obligaciones quedarán limitados exclusivamente a los generados por el último contrato suscrito por el trabajador con la empresa saliente de la contrata, sin que la empresa entrante se encuentre vinculada por cualquier contrato o pacto anterior a aquél, particularmente a efectos de años de servicio, indemnizaciones por despido y cualesquiera otros conceptos que tomen en consideración el tiempo de prestación de servicios, a menos que ya tuviera reconocido el trabajador tales derechos mediante sentencia judicial firme con anterioridad a producirse la subrogación y le hubieran sido comunicados a la empresa entrante en el plazo y forma regulados en este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Será requisito necesario para tal subrogación que los trabajadores lleven prestando sus servicios en la contrata que cambia de titular, al menos cuatro meses antes de la fecha de finalización efectiva de la misma, sea cual fuere la modalidad de su contrato de trabajo, con independencia de que, con anterioridad al citado período de cuatro meses, hubieran trabajado en otra contrata. El personal o trabajadores que no reúnan estos requisitos y condiciones no tendrán derecho a ser subrogados.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También se producirá la mencionada subrogación del personal en cualquiera de los siguientes supuestos: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Trabajadores, con derecho a reserva de puesto de trabajo, que en el momento de la finalización efectiva de la contrata tengan una antigüedad mínima de cuatro meses en la misma y se encuentre en situación de suspensión de su contrato de trabajo por alguna de las causas establecidas en el art. 45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Trabajadores con contrato de interinidad que sustituyan a alguno de los trabajadores mencionados en el apartado anterior, con independencia de su antigüedad y mientras dure su contrato.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Trabajadores de nuevo ingreso que por exigencia del cliente se hayan incorporado a la contrata como consecuencia de una ampliación que perdure en la siguiente contrata, aunque no lleven los cuatro meses de antigüedad.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Trabajadores que sustituyan a otros que se jubilen, de forma parcial o total, dentro de los últimos cuatro meses anteriores a la finalización efectiva de la contrata.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Al objeto de garantizar la transparencia en el proceso de licitación, la empresa o entidad en la que se extinga o concluya el contrato, en el momento de iniciarse el procedimiento estará obligada a tener a disposición de las empresas licitadoras la relación de todo el personal objeto de la posible subrogación en la que se especifique, nombre y apellidos, documento nacional de identidad, número de afiliación a la seguridad social, antigüedad, jornada y horario, modalidad de contratación, fecha de disfrute de vacaciones y retribuciones que, por cualesquiera conceptos, vinieran percibiendo, especificando los mismos y sus importes.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Asimismo, será requisito imprescindible para que opere esta subrogación que la empresa a la que se le extinga o concluya el contrato, notifique por escrito la obligación de subrogación a la nueva empresa adjudicataria o entidad que asuma la contrata en el término improrrogable de quince días naturales anteriores a la fecha efectiva de finalización de la contrata, o de quince días a partir de la fecha de comunicación fehaciente del cese, facilitándole al mismo tiempo los siguientes documentos: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Certificado del organismo competente de estar al corriente de pago de la seguridad social y primas de accidentes de trabajo de todos los trabajadores cuya subrogación se pretende o corresponda.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Fotocopia de las cuatro últimas nóminas o recibos de salarios mensuales de los trabajadores afectados por la subrogación.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Fotocopia de los TC1 y TC2 de cotización de la seguridad social de los últimos cuatro meses, en los que figuren los trabajadores afectados.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Fotocopia del parte de alta en la seguridad social de los trabajadores afectados.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Relación de todo el personal objeto de la subrogación, en la que se especifique nombre y apellidos, documento nacional de identidad, número de afiliación a la seguridad social, antigüedad, jornada y horario, modalidad de contratación, fecha de disfrute de vacaciones y retribuciones que, por cualesquiera conceptos, vinieran percibiendo, especificando los mismos y sus importes.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Fotocopia de los contratos de trabajo que tengan suscritos los trabajadores afectados.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Toda la documentación relativa a la prevención de riesgos laborales.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En su caso, documentación acreditativa de las situaciones a que se refiere el apartado 3, párrafos a), b), c) y d) del presente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Asimismo, será necesario que la empresa saliente acredite documentalmente a la entrante, antes de producirse la subrogación, mediante copia de documento diligenciado por cada trabajador afectado, que éste ha recibido de la empresa saliente su liquidación de partes proporcionales de sus retribuciones hasta el momento de la subrogación, no quedando pendiente cantidad alguna. A estos efectos, los trabajadores que no hubieran disfrutado de sus vacaciones reglamentarias al producirse la subrogación las disfrutarán con la nueva adjudicataria del servicio, que sólo deberá abonar la parte proporcional del período que a ella corresponda, ya que el abono del otro período corresponde al anterior adjudicatario, que deberá efectuarlo en la correspondiente liquidación.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En el supuesto de que una o varias contratas cuya actividad viene siendo desempeñada por una o distintas empresas o entidades se fragmenten o dividan en distintas partes, zonas o servicios al objeto de su posterior adjudicación, pasarán a estar adscritos al nuevo titular aquellos trabajadores que cumplan con los requisitos previstos en el apartado 3 de este artículo referidos a la anterior contrata, y respecto de los que la empresa o empresas salientes hubieran cumplido con las obligaciones establecidas en el apartado 5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En el caso de que distintas contratas, servicios, zonas o divisiones de aquéllas se agrupen en una o varias, la subrogación de personal operará respecto de todos aquellos trabajadores que cumplan con los requisitos previstos en el apartado 3 de este artículo referidos a alguna de las anteriores contratas, y respecto de los que la empresa o empresas salientes hubieran cumplido con las obligaciones establecidas en el apartado 5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La aplicación de este artículo será de obligado cumplimiento para las partes a que vincula, empresa o entidad cesante, nueva adjudicataria y trabajador, por lo que, cumplidos los requisitos establecidos en los apartados 3, 4 y 5 del presente artículo, operará en todos los supuestos de sustitución de contratas, partes o zonas de las mismas que resulten de la fragmentación o división de las mismas, así como en las agrupaciones que de aquéllas puedan efectuarse, aun tratándose de las normales sustituciones que se produzcan entre empresas o entidades que lleven a cabo la correspondiente actividad. Todo ello con independencia de los supuestos de sucesión de empresa en los que se estará a lo dispuesto en el art. 44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No desaparece el carácter vinculante de la subrogación prevista en este artículo en el caso de que el organismo público que adjudica la contrata suspendiese la actividad objeto de la misma por un período no superior a doce meses.</w:t>
      </w:r>
    </w:p>
    <w:p>
      <w:pPr>
        <w:pStyle w:val="style0"/>
        <w:shd w:fill="FFFFFF" w:val="clear"/>
        <w:spacing w:after="28" w:before="28" w:line="300" w:lineRule="atLeast"/>
        <w:jc w:val="both"/>
      </w:pPr>
      <w:bookmarkStart w:id="68" w:name="SE38"/>
      <w:bookmarkEnd w:id="68"/>
      <w:r>
        <w:rPr>
          <w:rFonts w:ascii="Verdana" w:cs="Times New Roman" w:eastAsia="Times New Roman" w:hAnsi="Verdana"/>
          <w:b/>
          <w:bCs/>
          <w:color w:val="0087AD"/>
          <w:sz w:val="21"/>
          <w:lang w:eastAsia="es-ES"/>
        </w:rPr>
        <w:t>CAPÍTULO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CLASIFICACIÓN PROFESIONAL</w:t>
      </w:r>
    </w:p>
    <w:p>
      <w:pPr>
        <w:pStyle w:val="style0"/>
        <w:shd w:fill="FFFFFF" w:val="clear"/>
        <w:spacing w:after="28" w:before="28" w:line="300" w:lineRule="atLeast"/>
        <w:jc w:val="both"/>
      </w:pPr>
      <w:bookmarkStart w:id="69" w:name="LOC_ART.28"/>
      <w:bookmarkStart w:id="70" w:name="SE39"/>
      <w:bookmarkEnd w:id="69"/>
      <w:bookmarkEnd w:id="70"/>
      <w:r>
        <w:rPr>
          <w:rFonts w:ascii="Verdana" w:cs="Times New Roman" w:eastAsia="Times New Roman" w:hAnsi="Verdana"/>
          <w:b/>
          <w:bCs/>
          <w:caps/>
          <w:color w:val="0087AD"/>
          <w:sz w:val="17"/>
          <w:lang w:eastAsia="es-ES"/>
        </w:rPr>
        <w:t>ARTÍCULO 28.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Clasificación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Sobre la base de lo dispuesto en el art. 22 del E.T., las partes firmantes buscarán la integración como contenido del Convenio General del Sector de la Construcción correspondiente un nuevo modelo de clasificación profesional para dotar al sector de una nueva que responda a las necesidades actuales del trabajo en 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clasificación se realizará en divisiones funcionales y grupos profesionales definiendo la posición del trabajador en el sistema organizativo de la empresa distinguiendo entre técnicos, empleados y operarios. Además los grupos profesionales tendrán en cuenta los conocimientos, iniciativa, autonomía, responsabilidad, mando y complejidad como factores determinantes de la actividad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citado acuerdo, una vez aprobado por la Comisión Negociadora, se integrará como capítulo orgánicamente constitutivo del Convenio General.</w:t>
      </w:r>
    </w:p>
    <w:p>
      <w:pPr>
        <w:pStyle w:val="style0"/>
        <w:shd w:fill="FFFFFF" w:val="clear"/>
        <w:spacing w:after="28" w:before="28" w:line="300" w:lineRule="atLeast"/>
        <w:jc w:val="both"/>
      </w:pPr>
      <w:bookmarkStart w:id="71" w:name="SE40"/>
      <w:bookmarkEnd w:id="71"/>
      <w:r>
        <w:rPr>
          <w:rFonts w:ascii="Verdana" w:cs="Times New Roman" w:eastAsia="Times New Roman" w:hAnsi="Verdana"/>
          <w:b/>
          <w:bCs/>
          <w:color w:val="0087AD"/>
          <w:sz w:val="21"/>
          <w:lang w:eastAsia="es-ES"/>
        </w:rPr>
        <w:t>CAPÍTULO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ORDENACIÓN Y PRESTACIÓN DEL TRABAJO</w:t>
      </w:r>
    </w:p>
    <w:p>
      <w:pPr>
        <w:pStyle w:val="style0"/>
        <w:shd w:fill="FFFFFF" w:val="clear"/>
        <w:spacing w:after="28" w:before="28" w:line="300" w:lineRule="atLeast"/>
        <w:jc w:val="both"/>
      </w:pPr>
      <w:bookmarkStart w:id="72" w:name="LOC_ART.29"/>
      <w:bookmarkStart w:id="73" w:name="SE41"/>
      <w:bookmarkEnd w:id="72"/>
      <w:bookmarkEnd w:id="73"/>
      <w:r>
        <w:rPr>
          <w:rFonts w:ascii="Verdana" w:cs="Times New Roman" w:eastAsia="Times New Roman" w:hAnsi="Verdana"/>
          <w:b/>
          <w:bCs/>
          <w:caps/>
          <w:color w:val="0087AD"/>
          <w:sz w:val="17"/>
          <w:lang w:eastAsia="es-ES"/>
        </w:rPr>
        <w:t>ARTÍCULO 29.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Ordenación del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ordenación del trabajo es facultad del empresario o persona en quien éste delegue, y debe ejercerse con sujeción a lo establecido en el presente Convenio y demás normas aplicables.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trabajador está obligado a cumplir las órdenes e instrucciones del empresario en el ejercicio regular de sus facultades directivas, debiendo ejecutar cuantos trabajos, operaciones o actividades se le ordenen dentro del general cometido de su competencia profesional. Entre ellas están incluidas las tareas complementarias que sean indispensables para el desempeño de su cometido principal, o el cuidado y limpieza de las máquinas, herramientas y puesto de trabajo que estén a su cargo durante la jornada laboral, así como cumplir con todas las instrucciones referentes a prevención de riesgos laborales.</w:t>
      </w:r>
    </w:p>
    <w:p>
      <w:pPr>
        <w:pStyle w:val="style0"/>
        <w:shd w:fill="FFFFFF" w:val="clear"/>
        <w:spacing w:after="28" w:before="28" w:line="300" w:lineRule="atLeast"/>
        <w:jc w:val="both"/>
      </w:pPr>
      <w:bookmarkStart w:id="74" w:name="LOC_ART.30"/>
      <w:bookmarkStart w:id="75" w:name="SE42"/>
      <w:bookmarkEnd w:id="74"/>
      <w:bookmarkEnd w:id="75"/>
      <w:r>
        <w:rPr>
          <w:rFonts w:ascii="Verdana" w:cs="Times New Roman" w:eastAsia="Times New Roman" w:hAnsi="Verdana"/>
          <w:b/>
          <w:bCs/>
          <w:caps/>
          <w:color w:val="0087AD"/>
          <w:sz w:val="17"/>
          <w:lang w:eastAsia="es-ES"/>
        </w:rPr>
        <w:t>ARTÍCULO 30.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Prestación del trabajo y obligaciones específicas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prestación de trabajo, vendrá determinada por lo convenido al respecto en el contrato. La clase y extensión de la prestación serán las que marquen las Leyes, el presente Convenio General del Sector, los convenios de ámbito inferior, el contrato individual, las órdenes e instrucciones del empresario en el ejercicio regular de sus facultades directivas y, en su defecto, los usos y costumbres.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Normalmente sólo se prestará el trabajo corriente. No obstante, temporalmente y por necesidad urgente de prevenir males o de remediar accidentes o daños sufridos, deberá el trabajador prestar mayor trabajo u otro distinto del acordado, con obligación por parte del empresario de indemnizarle de acuerdo con la normativa aplicable al respecto.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empresario deberá guardar la consideración debida a la dignidad humana del trabajador, así como tener en cuenta la capacidad real de los trabajadores discapacitados, que, en su caso, le presten sus servicios, al adoptar y aplicar medidas de control y vigilancia del cumplimiento de la prestación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El trabajador deberá dar cuenta inmediata a sus jefes directos de los entorpecimientos que observe en la realización de su trabajo así como de las faltas o defectos que advierta en los útiles, máquinas, herramientas o instalaciones relacionadas con su cometido que, a su vez, deberá mantener en adecuado estado de funcionamiento y utilización en lo que de él dependa.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Fuera de los centros de trabajo o de su jornada laboral, queda prohibida, salvo expresa autorización del empresario o de quienes le representen, la utilización de máquinas, herramientas, aparatos, instalaciones o locales de trabajo, así como el uso de máquinas, útiles o aparatos propios en los trabajos encomendados.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Para la debida eficacia de la política de prevención de riesgos laborales, los trabajadores vienen obligados a utilizar los medios de protección que les facilite el empresario en cumplimiento de la normativa reguladora correspondiente, así como atenerse a las instrucciones recibidas, a las disposiciones legales y a lo establecido en el Libro II del presente Convenio.</w:t>
      </w:r>
    </w:p>
    <w:p>
      <w:pPr>
        <w:pStyle w:val="style0"/>
        <w:shd w:fill="FFFFFF" w:val="clear"/>
        <w:spacing w:after="28" w:before="28" w:line="300" w:lineRule="atLeast"/>
        <w:jc w:val="both"/>
      </w:pPr>
      <w:bookmarkStart w:id="76" w:name="LOC_ART.31"/>
      <w:bookmarkStart w:id="77" w:name="SE43"/>
      <w:bookmarkEnd w:id="76"/>
      <w:bookmarkEnd w:id="77"/>
      <w:r>
        <w:rPr>
          <w:rFonts w:ascii="Verdana" w:cs="Times New Roman" w:eastAsia="Times New Roman" w:hAnsi="Verdana"/>
          <w:b/>
          <w:bCs/>
          <w:caps/>
          <w:color w:val="0087AD"/>
          <w:sz w:val="17"/>
          <w:lang w:eastAsia="es-ES"/>
        </w:rPr>
        <w:t>ARTÍCULO 31.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 «a tiempo»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Salvo norma, disposición o pacto en contrario, se presume que la prestación de trabajo se concierta en la modalidad denominada «a tiempo», en la que la retribución se fija atendiendo a la duración del trabajo y al rendimiento normal en la categoría y especialidad correspondientes, al que se hace referencia en el art. 40 de este Convenio, y cuya contrapartida la constituyen las tablas salariales de los convenios colectivos provinciales o, en su caso, de comunidad autónoma, del sector.</w:t>
      </w:r>
    </w:p>
    <w:p>
      <w:pPr>
        <w:pStyle w:val="style0"/>
        <w:shd w:fill="FFFFFF" w:val="clear"/>
        <w:spacing w:after="28" w:before="28" w:line="300" w:lineRule="atLeast"/>
        <w:jc w:val="both"/>
      </w:pPr>
      <w:bookmarkStart w:id="78" w:name="LOC_ART.32"/>
      <w:bookmarkStart w:id="79" w:name="SE44"/>
      <w:bookmarkEnd w:id="78"/>
      <w:bookmarkEnd w:id="79"/>
      <w:r>
        <w:rPr>
          <w:rFonts w:ascii="Verdana" w:cs="Times New Roman" w:eastAsia="Times New Roman" w:hAnsi="Verdana"/>
          <w:b/>
          <w:bCs/>
          <w:caps/>
          <w:color w:val="0087AD"/>
          <w:sz w:val="17"/>
          <w:lang w:eastAsia="es-ES"/>
        </w:rPr>
        <w:t>ARTÍCULO 32.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Sistemas científicos o de «trabajo medido»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estos sistemas, que se caracterizan por intentar llevar a cabo, a través de una serie más o menos compleja de operaciones, una medición técnica del rendimiento, y tienen como finalidad conseguir que éste sea superior al normal que viene obteniéndose, el rendimiento de la prestación de trabajo será el que en ellos se establezca.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su implantación deberá concederse el necesario período de adaptación y se respetará el salario que se había alcanzado anteriormente, pudiendo dar lugar a la movilidad y redistribución del personal que requiera la nueva organización del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 durante el período de adaptación, el trabajador alcanzara rendimientos superiores a los normales, tendrá derecho a percibir la diferencia entre el rendimiento normal y el superior que haya conseguido, regularizándose su situación, en su caso, cuando el sistema sea definitivamente implantado, de acuerdo con las tarifas que el mismo contenga.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Estos sistemas exigirán el establecimiento de una fórmula clara y sencilla para el cálculo de las retribuciones correspondientes.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Previamente a su implantación o revisión colectivas, deberá solicitarse, a los representantes legales de los trabajadores, el informe a que se refiere el art. 64.1.4.d) y e) del E.T., que deberán emitir éstos en el plazo de quince días, estando sujetas dichas implantación o revisión a lo dispuesto en el art. 41 del E.T.</w:t>
      </w:r>
    </w:p>
    <w:p>
      <w:pPr>
        <w:pStyle w:val="style0"/>
        <w:shd w:fill="FFFFFF" w:val="clear"/>
        <w:spacing w:after="28" w:before="28" w:line="300" w:lineRule="atLeast"/>
        <w:jc w:val="both"/>
      </w:pPr>
      <w:bookmarkStart w:id="80" w:name="LOC_ART.33"/>
      <w:bookmarkStart w:id="81" w:name="SE45"/>
      <w:bookmarkEnd w:id="80"/>
      <w:bookmarkEnd w:id="81"/>
      <w:r>
        <w:rPr>
          <w:rFonts w:ascii="Verdana" w:cs="Times New Roman" w:eastAsia="Times New Roman" w:hAnsi="Verdana"/>
          <w:b/>
          <w:bCs/>
          <w:caps/>
          <w:color w:val="0087AD"/>
          <w:sz w:val="17"/>
          <w:lang w:eastAsia="es-ES"/>
        </w:rPr>
        <w:t>ARTÍCULO 33.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 por tarea, a destajo o por unidad de obra, con primas a la producción o con incentivo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caracterizan estos sistemas por poner en relación directa la retribución con la producción del trabajo, con independencia, en principio, del tiempo invertido en su realización y por tener como objetivo la consecución de un rendimiento superior al normal.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trabajo a tarea consiste en la realización, por jornada, de una determinada cantidad de obra o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el trabajador termina la tarea antes de concluir la jornada diaria, la empresa podrá ofrecerle, y éste aceptar o no, entre continuar prestando sus servicios hasta la terminación de la jornada, o que abandone el trabajo, dando por concluida la misma.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el primer caso, la empresa deberá abonar el tiempo que medie entre la terminación de la tarea y la conclusión de la jornada diaria, como si se tratase de horas extraordinarias, pero sin que se computen éstas al efecto del límite fijado para las mismas en el art. 35.2 del E.T. y sin que pueda exigirse durante dicho período un rendimiento superior al normal.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los trabajos a destajo o por unidad de obra, y a efectos de su retribución, sólo se atiende a la cantidad y calidad de la obra o trabajo realizado, pagándose por piezas, medidas, trozos, conjuntos o unidades determinadas, independientemente del tiempo invertido en su realización, si bien puede estipularse un plazo para su terminación, en cuyo caso, deberá terminarse dentro de él, pero sin que pueda exigirse, en este caso, un rendimiento superior al normal.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los trabajos que se presten a su aplicación, podrán establecerse primas a la productividad o incentivos, de tal forma que a los mayores rendimientos que se alcancen en el trabajo correspondan unos ingresos que guarden, respecto a los normales, al menos, la misma proporción que la de dichos rendimientos en relación con los normales.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Si en cualquiera de los sistemas previstos en este artículo el trabajador no alcanzase el rendimiento previsto por causa no imputable a la empresa ni al trabajador, éste tendrá derecho, al menos, al salario fijado para su categoría profesional en el convenio colectivo aplicable más un 25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Previamente a su implantación o revisión colectivas de estos sistemas, en cuanto suponen casos subsumibles en los supuestos de hecho del art. 64.1.4.d) o e) del E.T., deberá solicitarse, en su caso, a los representantes legales de los trabajadores el informe a que dicho precepto se refiere, y que deberán éstos emitir en el plazo improrrogable de quince días estando sujetas dichas implantación o revisión a lo dispuesto en el art. 41 del E.T.</w:t>
      </w:r>
    </w:p>
    <w:p>
      <w:pPr>
        <w:pStyle w:val="style0"/>
        <w:shd w:fill="FFFFFF" w:val="clear"/>
        <w:spacing w:after="28" w:before="28" w:line="300" w:lineRule="atLeast"/>
        <w:jc w:val="both"/>
      </w:pPr>
      <w:bookmarkStart w:id="82" w:name="LOC_ART.34"/>
      <w:bookmarkStart w:id="83" w:name="SE46"/>
      <w:bookmarkEnd w:id="82"/>
      <w:bookmarkEnd w:id="83"/>
      <w:r>
        <w:rPr>
          <w:rFonts w:ascii="Verdana" w:cs="Times New Roman" w:eastAsia="Times New Roman" w:hAnsi="Verdana"/>
          <w:b/>
          <w:bCs/>
          <w:caps/>
          <w:color w:val="0087AD"/>
          <w:sz w:val="17"/>
          <w:lang w:eastAsia="es-ES"/>
        </w:rPr>
        <w:t>ARTÍCULO 34.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Discreción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Como manifestación de los deberes generales de colaboración y buena fe que rigen la prestación del trabajo, el trabajador está obligado a mantener los secretos relativos a la explotación y negocios de la empresa.</w:t>
      </w:r>
    </w:p>
    <w:p>
      <w:pPr>
        <w:pStyle w:val="style0"/>
        <w:shd w:fill="FFFFFF" w:val="clear"/>
        <w:spacing w:after="28" w:before="28" w:line="300" w:lineRule="atLeast"/>
        <w:jc w:val="both"/>
      </w:pPr>
      <w:bookmarkStart w:id="84" w:name="LOC_ART.35"/>
      <w:bookmarkStart w:id="85" w:name="SE47"/>
      <w:bookmarkEnd w:id="84"/>
      <w:bookmarkEnd w:id="85"/>
      <w:r>
        <w:rPr>
          <w:rFonts w:ascii="Verdana" w:cs="Times New Roman" w:eastAsia="Times New Roman" w:hAnsi="Verdana"/>
          <w:b/>
          <w:bCs/>
          <w:caps/>
          <w:color w:val="0087AD"/>
          <w:sz w:val="17"/>
          <w:lang w:eastAsia="es-ES"/>
        </w:rPr>
        <w:t>ARTÍCULO 35.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Deberes del empresario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relación con la prestación de trabajo, el empresario está obligado a facilitar a los trabajadores cuantos medios sean precisos para la adecuada realización de su cometido, así como los medios de protección necesarios a efectos de su seguridad y salud en el trabajo, tal y como se establece en el Libro II del presente Convenio, y velar por el uso efectivo de los mismos, y en general a respetar los derechos laborales de los trabajadores establecidos en el art. 4 del E.T.</w:t>
      </w:r>
    </w:p>
    <w:p>
      <w:pPr>
        <w:pStyle w:val="style0"/>
        <w:shd w:fill="FFFFFF" w:val="clear"/>
        <w:spacing w:after="28" w:before="28" w:line="300" w:lineRule="atLeast"/>
        <w:jc w:val="both"/>
      </w:pPr>
      <w:bookmarkStart w:id="86" w:name="LOC_ART.36"/>
      <w:bookmarkStart w:id="87" w:name="SE48"/>
      <w:bookmarkEnd w:id="86"/>
      <w:bookmarkEnd w:id="87"/>
      <w:r>
        <w:rPr>
          <w:rFonts w:ascii="Verdana" w:cs="Times New Roman" w:eastAsia="Times New Roman" w:hAnsi="Verdana"/>
          <w:b/>
          <w:bCs/>
          <w:caps/>
          <w:color w:val="0087AD"/>
          <w:sz w:val="17"/>
          <w:lang w:eastAsia="es-ES"/>
        </w:rPr>
        <w:t>ARTÍCULO 36.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Reclamaciones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Sin perjuicio del derecho que asiste a los trabajadores de acudir y plantear sus reclamaciones ante la autoridad administrativa o jurisdiccional competente, podrán presentarlas ante la empresa en que presten servicio, a través de sus representantes legales o sus jefes inmediatos.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empresas tratarán de resolver estas reclamaciones en el plazo más breve posible, con objeto de evitar o reducir su planteamiento formal en las mencionadas instancias.</w:t>
      </w:r>
    </w:p>
    <w:p>
      <w:pPr>
        <w:pStyle w:val="style0"/>
        <w:shd w:fill="FFFFFF" w:val="clear"/>
        <w:spacing w:after="28" w:before="28" w:line="300" w:lineRule="atLeast"/>
        <w:jc w:val="both"/>
      </w:pPr>
      <w:bookmarkStart w:id="88" w:name="SE49"/>
      <w:bookmarkEnd w:id="88"/>
      <w:r>
        <w:rPr>
          <w:rFonts w:ascii="Verdana" w:cs="Times New Roman" w:eastAsia="Times New Roman" w:hAnsi="Verdana"/>
          <w:b/>
          <w:bCs/>
          <w:color w:val="0087AD"/>
          <w:sz w:val="21"/>
          <w:lang w:eastAsia="es-ES"/>
        </w:rPr>
        <w:t>CAPÍTULO 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PRODUCTIVIDAD Y TABLAS DE RENDIMIENTOS</w:t>
      </w:r>
    </w:p>
    <w:p>
      <w:pPr>
        <w:pStyle w:val="style0"/>
        <w:shd w:fill="FFFFFF" w:val="clear"/>
        <w:spacing w:after="28" w:before="28" w:line="300" w:lineRule="atLeast"/>
        <w:jc w:val="both"/>
      </w:pPr>
      <w:bookmarkStart w:id="89" w:name="LOC_ART.37"/>
      <w:bookmarkStart w:id="90" w:name="SE50"/>
      <w:bookmarkEnd w:id="89"/>
      <w:bookmarkEnd w:id="90"/>
      <w:r>
        <w:rPr>
          <w:rFonts w:ascii="Verdana" w:cs="Times New Roman" w:eastAsia="Times New Roman" w:hAnsi="Verdana"/>
          <w:b/>
          <w:bCs/>
          <w:caps/>
          <w:color w:val="0087AD"/>
          <w:sz w:val="17"/>
          <w:lang w:eastAsia="es-ES"/>
        </w:rPr>
        <w:t>ARTÍCULO 37.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La productividad como bien jurídicamente protegido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productividad es un bien constitucionalmente protegido cuya mejora constituye un deber básico de los trabajadores, debiendo colaborar los representantes legales de éstos con la dirección de la empresa en orden a conseguir su incremento.</w:t>
      </w:r>
    </w:p>
    <w:p>
      <w:pPr>
        <w:pStyle w:val="style0"/>
        <w:shd w:fill="FFFFFF" w:val="clear"/>
        <w:spacing w:after="28" w:before="28" w:line="300" w:lineRule="atLeast"/>
        <w:jc w:val="both"/>
      </w:pPr>
      <w:bookmarkStart w:id="91" w:name="LOC_ART.38"/>
      <w:bookmarkStart w:id="92" w:name="SE51"/>
      <w:bookmarkEnd w:id="91"/>
      <w:bookmarkEnd w:id="92"/>
      <w:r>
        <w:rPr>
          <w:rFonts w:ascii="Verdana" w:cs="Times New Roman" w:eastAsia="Times New Roman" w:hAnsi="Verdana"/>
          <w:b/>
          <w:bCs/>
          <w:caps/>
          <w:color w:val="0087AD"/>
          <w:sz w:val="17"/>
          <w:lang w:eastAsia="es-ES"/>
        </w:rPr>
        <w:t>ARTÍCULO 38.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Rendimiento en los sistemas de «trabajo medido»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se empleen sistemas de organización científica del trabajo o de «trabajo medido», las normas de implantación o aplicación de estos sistemas deberán establecer el rendimiento normal o exigible que se deba alcanzar así como las tarifas retributivas aplicables en función de los mayores rendimientos que, en su caso, se consigan, elaboradas de forma tal que el cálculo de la retribución correspondiente resulte claro y sencillo.</w:t>
      </w:r>
    </w:p>
    <w:p>
      <w:pPr>
        <w:pStyle w:val="style0"/>
        <w:shd w:fill="FFFFFF" w:val="clear"/>
        <w:spacing w:after="28" w:before="28" w:line="300" w:lineRule="atLeast"/>
        <w:jc w:val="both"/>
      </w:pPr>
      <w:bookmarkStart w:id="93" w:name="LOC_ART.39"/>
      <w:bookmarkStart w:id="94" w:name="SE52"/>
      <w:bookmarkEnd w:id="93"/>
      <w:bookmarkEnd w:id="94"/>
      <w:r>
        <w:rPr>
          <w:rFonts w:ascii="Verdana" w:cs="Times New Roman" w:eastAsia="Times New Roman" w:hAnsi="Verdana"/>
          <w:b/>
          <w:bCs/>
          <w:caps/>
          <w:color w:val="0087AD"/>
          <w:sz w:val="17"/>
          <w:lang w:eastAsia="es-ES"/>
        </w:rPr>
        <w:t>ARTÍCULO 39.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Rendimiento en los sistemas de trabajo con prima o incentivo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caso de aplicarse estos sistemas colectivos de trabajo, y como en el supuesto del artículo anterior, en su normativa de implantación o aplicación deberá figurar el rendimiento normal o exigible, y las tarifas retributivas correspondientes, elaboradas de forma que los ingresos respectivos guarden entre sí, al menos, la misma proporción que los rendimientos correspondientes.</w:t>
      </w:r>
    </w:p>
    <w:p>
      <w:pPr>
        <w:pStyle w:val="style0"/>
        <w:shd w:fill="FFFFFF" w:val="clear"/>
        <w:spacing w:after="28" w:before="28" w:line="300" w:lineRule="atLeast"/>
        <w:jc w:val="both"/>
      </w:pPr>
      <w:bookmarkStart w:id="95" w:name="LOC_ART.40"/>
      <w:bookmarkStart w:id="96" w:name="SE53"/>
      <w:bookmarkEnd w:id="95"/>
      <w:bookmarkEnd w:id="96"/>
      <w:r>
        <w:rPr>
          <w:rFonts w:ascii="Verdana" w:cs="Times New Roman" w:eastAsia="Times New Roman" w:hAnsi="Verdana"/>
          <w:b/>
          <w:bCs/>
          <w:caps/>
          <w:color w:val="0087AD"/>
          <w:sz w:val="17"/>
          <w:lang w:eastAsia="es-ES"/>
        </w:rPr>
        <w:t>ARTÍCULO 40.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Rendimiento en el sistema de trabajo «a tiempo»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Como se dispone en el art. 31 de este Convenio, se presume que este sistema rige la prestación de trabajo, salvo disposición o pacto en contrario.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este sistema la retribución será la que corresponda de acuerdo con la tabla salarial del convenio colectivo provincial, o, en su caso, de comunidad autónoma aplicable, y para su determinación se atenderá al tiempo de duración de la prestación de trabajo, siempre que el trabajador alcance, en dicho tiempo, el rendimiento normal exigible al mismo.</w:t>
      </w:r>
    </w:p>
    <w:p>
      <w:pPr>
        <w:pStyle w:val="style0"/>
        <w:shd w:fill="FFFFFF" w:val="clear"/>
        <w:spacing w:after="28" w:before="28" w:line="300" w:lineRule="atLeast"/>
        <w:jc w:val="both"/>
      </w:pPr>
      <w:bookmarkStart w:id="97" w:name="LOC_ART.41"/>
      <w:bookmarkStart w:id="98" w:name="SE54"/>
      <w:bookmarkEnd w:id="97"/>
      <w:bookmarkEnd w:id="98"/>
      <w:r>
        <w:rPr>
          <w:rFonts w:ascii="Verdana" w:cs="Times New Roman" w:eastAsia="Times New Roman" w:hAnsi="Verdana"/>
          <w:b/>
          <w:bCs/>
          <w:caps/>
          <w:color w:val="0087AD"/>
          <w:sz w:val="17"/>
          <w:lang w:eastAsia="es-ES"/>
        </w:rPr>
        <w:t>ARTÍCULO 41.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Establecimiento de tablas de rendimiento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el sistema de trabajo a tiempo, y en relación con aquellas actividades, oficios o especialidades y categorías incursas en el ámbito de aplicación de este Convenio, cuyos rendimientos se presten con mayor facilidad a ser medidos con criterios objetivos o materiales, se establecerán tablas de rendimientos normales que, tras los oportunos acuerdos de la Comisión Sectorial de Productividad que en el mismo se crea, se irán incorporando, como Anexo, al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Después de la publicación de este Convenio podrá acordarse a nivel provincial, o, en su caso, de comunidad autónoma el establecimiento de nuevas tablas de rendimientos normales, o la ampliación de las existentes con nuevas unidades, o su revisión, de acuerdo con la Comisión Sectorial de Productividad, que dictará las oportunas normas de homogeneización y aprobará, en su caso, el tratamiento diferencial que resulte justificado, todo ello en el supuesto de que las unidades correspondientes no vengan recogidas en el Anexo oportuno de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relación con los rendimientos normales, la Comisión Sectorial de Productividad podrá autorizar las adaptaciones que se le propongan a nivel provincial, o, en su caso, de comunidad autónoma, y que entienda estén justificadas.</w:t>
      </w:r>
    </w:p>
    <w:p>
      <w:pPr>
        <w:pStyle w:val="style0"/>
        <w:shd w:fill="FFFFFF" w:val="clear"/>
        <w:spacing w:after="28" w:before="28" w:line="300" w:lineRule="atLeast"/>
        <w:jc w:val="both"/>
      </w:pPr>
      <w:bookmarkStart w:id="99" w:name="LOC_ART.42"/>
      <w:bookmarkStart w:id="100" w:name="SE55"/>
      <w:bookmarkEnd w:id="99"/>
      <w:bookmarkEnd w:id="100"/>
      <w:r>
        <w:rPr>
          <w:rFonts w:ascii="Verdana" w:cs="Times New Roman" w:eastAsia="Times New Roman" w:hAnsi="Verdana"/>
          <w:b/>
          <w:bCs/>
          <w:caps/>
          <w:color w:val="0087AD"/>
          <w:sz w:val="17"/>
          <w:lang w:eastAsia="es-ES"/>
        </w:rPr>
        <w:t>ARTÍCULO 42.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Tablas de rendimientos y retribuciones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obtención de los rendimientos normales que se establezcan en las tablas aplicables en cada caso, será requisito necesario para tener derecho a la percepción de los salarios estipulados en las tablas salariales del convenio colectivo provincial o, en su caso, de comunidad autónoma correspondiente, salvo lo dispuesto en el apartado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Será considerada disminución voluntaria del rendimiento no alcanzar los rendimientos fijados en la tabla de rendimientos normales aplicable, en su caso, salvo causa justificada que, de darse, implicará el derecho a la percepción íntegra del salario estipulado para el rendimiento normal correspondiente.</w:t>
      </w:r>
    </w:p>
    <w:p>
      <w:pPr>
        <w:pStyle w:val="style0"/>
        <w:shd w:fill="FFFFFF" w:val="clear"/>
        <w:spacing w:after="28" w:before="28" w:line="300" w:lineRule="atLeast"/>
        <w:jc w:val="both"/>
      </w:pPr>
      <w:bookmarkStart w:id="101" w:name="LOC_ART.43"/>
      <w:bookmarkStart w:id="102" w:name="SE56"/>
      <w:bookmarkEnd w:id="101"/>
      <w:bookmarkEnd w:id="102"/>
      <w:r>
        <w:rPr>
          <w:rFonts w:ascii="Verdana" w:cs="Times New Roman" w:eastAsia="Times New Roman" w:hAnsi="Verdana"/>
          <w:b/>
          <w:bCs/>
          <w:caps/>
          <w:color w:val="0087AD"/>
          <w:sz w:val="17"/>
          <w:lang w:eastAsia="es-ES"/>
        </w:rPr>
        <w:t>ARTÍCULO 43.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Revisión de tablas de rendimientos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rendimientos estipulados en las tablas sólo podrán ser objeto de revisión cuando lo acuerde la Comisión Sectorial de Productividad.</w:t>
      </w:r>
    </w:p>
    <w:p>
      <w:pPr>
        <w:pStyle w:val="style0"/>
        <w:shd w:fill="FFFFFF" w:val="clear"/>
        <w:spacing w:after="28" w:before="28" w:line="300" w:lineRule="atLeast"/>
        <w:jc w:val="both"/>
      </w:pPr>
      <w:bookmarkStart w:id="103" w:name="LOC_ART.44"/>
      <w:bookmarkStart w:id="104" w:name="SE57"/>
      <w:bookmarkEnd w:id="103"/>
      <w:bookmarkEnd w:id="104"/>
      <w:r>
        <w:rPr>
          <w:rFonts w:ascii="Verdana" w:cs="Times New Roman" w:eastAsia="Times New Roman" w:hAnsi="Verdana"/>
          <w:b/>
          <w:bCs/>
          <w:caps/>
          <w:color w:val="0087AD"/>
          <w:sz w:val="17"/>
          <w:lang w:eastAsia="es-ES"/>
        </w:rPr>
        <w:t>ARTÍCULO 44.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de 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propias tablas de rendimientos establecerán sus condiciones de aplicación así como la forma y, en su caso, el período de entrada en vigor, debiendo recoger, como regla general, que el cómputo de la medición será semanal y referido a cada jornada de trabajo.</w:t>
      </w:r>
    </w:p>
    <w:p>
      <w:pPr>
        <w:pStyle w:val="style0"/>
        <w:shd w:fill="FFFFFF" w:val="clear"/>
        <w:spacing w:after="28" w:before="28" w:line="300" w:lineRule="atLeast"/>
        <w:jc w:val="both"/>
      </w:pPr>
      <w:bookmarkStart w:id="105" w:name="LOC_ART.45"/>
      <w:bookmarkStart w:id="106" w:name="SE58"/>
      <w:bookmarkEnd w:id="105"/>
      <w:bookmarkEnd w:id="106"/>
      <w:r>
        <w:rPr>
          <w:rFonts w:ascii="Verdana" w:cs="Times New Roman" w:eastAsia="Times New Roman" w:hAnsi="Verdana"/>
          <w:b/>
          <w:bCs/>
          <w:caps/>
          <w:color w:val="0087AD"/>
          <w:sz w:val="17"/>
          <w:lang w:eastAsia="es-ES"/>
        </w:rPr>
        <w:t>ARTÍCULO 45.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Verificación de su cumplimiento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empresa podrá verificar en cualquier momento el cumplimiento de los rendimientos de la tabla, en su caso, aplicable, debiendo seguir, para ello, las siguientes reglas: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Al trabajador que vaya a ser sometido a medición se le comunicará previamente.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resultados de la medición de cada jornada se consignarán en parte de trabajo confeccionado al efecto, que deberá ser firmado diariamente por el trabajador y el empresario o persona que lo represente, y, en caso de negativa de uno de ellos, por dos testigos, quedando en poder de ambas partes copia de dicho documento.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período de medición mínimo será de una semana laboral, computándose los resultados por el valor medio alcanzado en el período que se utilice.</w:t>
      </w:r>
    </w:p>
    <w:p>
      <w:pPr>
        <w:pStyle w:val="style0"/>
        <w:shd w:fill="FFFFFF" w:val="clear"/>
        <w:spacing w:after="28" w:before="28" w:line="300" w:lineRule="atLeast"/>
        <w:jc w:val="both"/>
      </w:pPr>
      <w:bookmarkStart w:id="107" w:name="SE59"/>
      <w:bookmarkEnd w:id="107"/>
      <w:r>
        <w:rPr>
          <w:rFonts w:ascii="Verdana" w:cs="Times New Roman" w:eastAsia="Times New Roman" w:hAnsi="Verdana"/>
          <w:b/>
          <w:bCs/>
          <w:color w:val="0087AD"/>
          <w:sz w:val="21"/>
          <w:lang w:eastAsia="es-ES"/>
        </w:rPr>
        <w:t>CAPÍTULO VI.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PROMOCIÓN EN EL TRABAJO</w:t>
      </w:r>
    </w:p>
    <w:p>
      <w:pPr>
        <w:pStyle w:val="style0"/>
        <w:shd w:fill="FFFFFF" w:val="clear"/>
        <w:spacing w:after="28" w:before="28" w:line="300" w:lineRule="atLeast"/>
        <w:jc w:val="both"/>
      </w:pPr>
      <w:bookmarkStart w:id="108" w:name="LOC_ART.46"/>
      <w:bookmarkStart w:id="109" w:name="SE60"/>
      <w:bookmarkEnd w:id="108"/>
      <w:bookmarkEnd w:id="109"/>
      <w:r>
        <w:rPr>
          <w:rFonts w:ascii="Verdana" w:cs="Times New Roman" w:eastAsia="Times New Roman" w:hAnsi="Verdana"/>
          <w:b/>
          <w:bCs/>
          <w:caps/>
          <w:color w:val="0087AD"/>
          <w:sz w:val="17"/>
          <w:lang w:eastAsia="es-ES"/>
        </w:rPr>
        <w:t>ARTÍCULO 46.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Ascensos, procedimiento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ascenso de los trabajadores a tareas o puestos de trabajo que impliquen mando o especial confianza será de libre designación y revocación por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Para ascender, cuando proceda, a una categoría profesional superior se establecerán por la empresa sistemas de carácter objetivo, teniendo en cuenta la formación, méritos y permanencia del trabajador en la empresa, pudiendo tomar como referencia, entre otras, las siguientes circunstancias: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Titulación adecuada.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Conocimiento del puesto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Historial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Haber desempeñado función de superior categoría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Superar satisfactoriamente las pruebas que se propongan, las cuales deberán ser las adecuadas al puesto de trabajo a desempeñar.</w:t>
      </w:r>
    </w:p>
    <w:p>
      <w:pPr>
        <w:pStyle w:val="style0"/>
        <w:shd w:fill="FFFFFF" w:val="clear"/>
        <w:spacing w:after="28" w:before="28" w:line="300" w:lineRule="atLeast"/>
        <w:jc w:val="both"/>
      </w:pPr>
      <w:bookmarkStart w:id="110" w:name="SE61"/>
      <w:bookmarkEnd w:id="110"/>
      <w:r>
        <w:rPr>
          <w:rFonts w:ascii="Verdana" w:cs="Times New Roman" w:eastAsia="Times New Roman" w:hAnsi="Verdana"/>
          <w:b/>
          <w:bCs/>
          <w:color w:val="0087AD"/>
          <w:sz w:val="21"/>
          <w:lang w:eastAsia="es-ES"/>
        </w:rPr>
        <w:t>CAPÍTULO VII.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PERCEPCIONES ECONÓMICAS: CONCEPTOS Y ESTRUCTURA</w:t>
      </w:r>
    </w:p>
    <w:p>
      <w:pPr>
        <w:pStyle w:val="style0"/>
        <w:shd w:fill="FFFFFF" w:val="clear"/>
        <w:spacing w:after="28" w:before="28" w:line="300" w:lineRule="atLeast"/>
        <w:jc w:val="both"/>
      </w:pPr>
      <w:bookmarkStart w:id="111" w:name="LOC_ART.47"/>
      <w:bookmarkStart w:id="112" w:name="SE62"/>
      <w:bookmarkEnd w:id="111"/>
      <w:bookmarkEnd w:id="112"/>
      <w:r>
        <w:rPr>
          <w:rFonts w:ascii="Verdana" w:cs="Times New Roman" w:eastAsia="Times New Roman" w:hAnsi="Verdana"/>
          <w:b/>
          <w:bCs/>
          <w:caps/>
          <w:color w:val="0087AD"/>
          <w:sz w:val="17"/>
          <w:lang w:eastAsia="es-ES"/>
        </w:rPr>
        <w:t>ARTÍCULO 47.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Percepciones económicas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Del conjunto de percepciones económicas, en dinero o en especie, que el trabajador obtiene en la relación de trabajo por cuenta ajena, unas las percibe como retribución o contraprestación directa por la prestación de su trabajo y son las que constituyen el salario, otras las recibe como compensación de gastos, como prestaciones y sus complementos e indemnizaciones o por modificaciones en su relación de trabajo, no formando ninguna de ellas parte del salario por ser percepciones de carácter extrasalarial.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Percepciones económicas salariales: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Salario base es aquélla parte de la retribución que se fija atendiendo exclusivamente a la unidad de tiempo con el rendimiento normal y exigible, en los términos del art. 40.2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Complementos salariales o cantidades que, en su caso, deban adicionarse al salario base, atendiendo a las siguientes circunstancias distintas de la unidad de tiempo: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Personales, tales como antigüedad consolidada, en su caso, y el complemento de discapacidad.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De puesto de trabajo, tales como las derivadas de trabajo nocturno o excepcionalmente tóxico, penoso o peligroso.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De calidad o cantidad de trabajo, tales como primas, incentivos, destajos, pluses de actividad o asistencia u horas extraordinarias.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cantidades que las empresas abonen libre y voluntariamente a sus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pagas extraordinarias y la retribución de vacaciones.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Percepciones económicas no salariales: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Las prestaciones e indemnizaciones de la seguridad social y sus complementos.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Las indemnizaciones o suplidos por gastos que hubieran de ser realizados por el trabajador como consecuencia de su actividad laboral, tales como herramientas y ropa de trabajo, así como las cantidades que se abonen en concepto de dietas, gastos de viaje o locomoción, pluses extrasalariales, y aquellas diferencias de alquiler o coste de vivienda que viniera percibiendo 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Las indemnizaciones por ceses, movilidad geográfica, suspensiones, extinciones, resoluciones de contrato o despido y accidente de trabajo y enfermedad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Aquellos complementos salariales que tengan carácter funcional o circunstancial, como los de puesto de trabajo, los de calidad o cantidad de trabajo realizado, y las cantidades que las empresas abonen libre y voluntariamente, se considerarán no consolidables en el salario del trabajador y no se computarán como base de las percepciones enumeradas en el apartado 2 de este artículo.</w:t>
      </w:r>
    </w:p>
    <w:p>
      <w:pPr>
        <w:pStyle w:val="style0"/>
        <w:shd w:fill="FFFFFF" w:val="clear"/>
        <w:spacing w:after="28" w:before="28" w:line="300" w:lineRule="atLeast"/>
        <w:jc w:val="both"/>
      </w:pPr>
      <w:bookmarkStart w:id="113" w:name="LOC_ART.48"/>
      <w:bookmarkStart w:id="114" w:name="SE63"/>
      <w:bookmarkEnd w:id="113"/>
      <w:bookmarkEnd w:id="114"/>
      <w:r>
        <w:rPr>
          <w:rFonts w:ascii="Verdana" w:cs="Times New Roman" w:eastAsia="Times New Roman" w:hAnsi="Verdana"/>
          <w:b/>
          <w:bCs/>
          <w:caps/>
          <w:color w:val="0087AD"/>
          <w:sz w:val="17"/>
          <w:lang w:eastAsia="es-ES"/>
        </w:rPr>
        <w:t>ARTÍCULO 48.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Estructura de las percepciones económicas en los convenios provinciales o, en su caso, autonómicos y de ámbitos inferiores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objeto de racionalizar y homogeneizar la estructura de las percepciones económicas de los diferentes convenios del sector de la construcción, las partes signatarias del presente Convenio consideran necesario fijar, con carácter general, los conceptos salariales y extrasalariales que pueden formar parte de la tabla de percepciones económicas.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conceptos son los siguientes: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Salario base.</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Gratificaciones extraordinarias.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Pluses salariales.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Pluses extrasalariales.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el concepto gratificaciones extraordinarias se entiende incluida la retribución de vacaciones.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En pluses salariales se consideran incluidos todos los complementos que se pacten en cada convenio que constituyan contraprestación directa del trabajo y no compensación de gastos originados por asistir o realizar 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En pluses extrasalariales se consideran incluidos cuantos conceptos se pacten en los convenios de carácter indemnizatorio de gastos originados al trabajador por la prestación de su trabajo, tales como distancia, transporte, recorrido, herramientas y ropa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Dentro del citado espíritu de homogeneización y racionalización, se acuerda establecer las proporciones que deben guardar algunos de los conceptos en relación con el total anual pactado en las tablas de percepciones económicas de cada convenio colectivo de ámbito inferior a éste en las siguientes proporciones.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conceptos de salario base y gratificaciones extraordinarias definidos en el artículo anterior, sumados, deberán quedar comprendidos entre el 65 por 100 y el 75 por 100 del total anual de las tablas del convenio para cada categoría o nivel. Aquellos convenios en los que la proporción de estos dos conceptos siga siendo superior al 75 por 100 del total anual, la mantendrán.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pluses extrasalariales, sumados, estarán comprendidos, entre el 5 por 100 y el 7 por 100 del total anual de las tablas del convenio, para cada categoría o nivel retributivo.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Los pluses salariales, sumados, ocuparán el restante porcentaje que resulte de aplicar los dos criterios anteriores sobre el total anual de las tablas del convenio para cada categoría o nivel retributivo.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Además de los conceptos reseñados podrán existir en el recibo de salarios de los trabajadores las restantes percepciones a que hace referencia el artículo anterior.</w:t>
      </w:r>
    </w:p>
    <w:p>
      <w:pPr>
        <w:pStyle w:val="style0"/>
        <w:shd w:fill="FFFFFF" w:val="clear"/>
        <w:spacing w:after="28" w:before="28" w:line="300" w:lineRule="atLeast"/>
        <w:jc w:val="both"/>
      </w:pPr>
      <w:bookmarkStart w:id="115" w:name="LOC_ART.49"/>
      <w:bookmarkStart w:id="116" w:name="SE64"/>
      <w:bookmarkEnd w:id="115"/>
      <w:bookmarkEnd w:id="116"/>
      <w:r>
        <w:rPr>
          <w:rFonts w:ascii="Verdana" w:cs="Times New Roman" w:eastAsia="Times New Roman" w:hAnsi="Verdana"/>
          <w:b/>
          <w:bCs/>
          <w:caps/>
          <w:color w:val="0087AD"/>
          <w:sz w:val="17"/>
          <w:lang w:eastAsia="es-ES"/>
        </w:rPr>
        <w:t>ARTÍCULO 49.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Devengo de las percepciones económicas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salario base se devengará durante todos los días naturales por los importes que, para cada categoría y nivel, establezcan los convenios colectivos de ámbito inferior.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pluses salariales de convenio se devengarán durante los días efectivamente trabajados por los importes que, para cada categoría y nivel, fijen los convenios colectivos de ámbito inferior.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pluses extrasalariales de convenio se devengarán durante los días de asistencia al trabajo por los importes que fijen los convenios colectivos de ámbito inferior.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Las pagas extraordinarias se devengarán por días naturales, en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Paga de junio: de 1 de enero a 30 de junio.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Paga de Navidad: de 1 de julio a 31 de diciembre.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En los diferentes convenios colectivos de ámbito inferior a éste se podrá establecer para cada categoría profesional y nivel la remuneración bruta anual correspondiente, el salario diario, mensual o ambos, y el precio de la hora ordinaria, conforme a lo establecido en el presente Convenio.</w:t>
      </w:r>
    </w:p>
    <w:p>
      <w:pPr>
        <w:pStyle w:val="style0"/>
        <w:shd w:fill="FFFFFF" w:val="clear"/>
        <w:spacing w:after="28" w:before="28" w:line="300" w:lineRule="atLeast"/>
        <w:jc w:val="both"/>
      </w:pPr>
      <w:bookmarkStart w:id="117" w:name="LOC_ART.50"/>
      <w:bookmarkStart w:id="118" w:name="SE65"/>
      <w:bookmarkEnd w:id="117"/>
      <w:bookmarkEnd w:id="118"/>
      <w:r>
        <w:rPr>
          <w:rFonts w:ascii="Verdana" w:cs="Times New Roman" w:eastAsia="Times New Roman" w:hAnsi="Verdana"/>
          <w:b/>
          <w:bCs/>
          <w:caps/>
          <w:color w:val="0087AD"/>
          <w:sz w:val="17"/>
          <w:lang w:eastAsia="es-ES"/>
        </w:rPr>
        <w:t>ARTÍCULO 50.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Remuneración bruta anual y remuneración mínima bruta anual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remuneración bruta anual mencionada en el artículo anterior comprenderá todas las percepciones económicas pactadas en cada convenio, por nivel y categoría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acuerdo con las formas de devengo, la remuneración bruta anual vendrá dada por la siguiente fórmula:</w:t>
      </w:r>
    </w:p>
    <w:p>
      <w:pPr>
        <w:pStyle w:val="style0"/>
        <w:shd w:fill="FFFFFF" w:val="clear"/>
        <w:spacing w:after="28" w:before="28" w:line="300" w:lineRule="atLeast"/>
        <w:jc w:val="both"/>
      </w:pPr>
      <w:bookmarkStart w:id="119" w:name="LOC_ART.50#FOR.1"/>
      <w:bookmarkStart w:id="120" w:name="LOC_ART.50.FOR.1"/>
      <w:bookmarkEnd w:id="119"/>
      <w:bookmarkEnd w:id="120"/>
      <w:r>
        <w:rPr>
          <w:rFonts w:ascii="Verdana" w:cs="Times New Roman" w:eastAsia="Times New Roman" w:hAnsi="Verdana"/>
          <w:color w:val="525252"/>
          <w:sz w:val="17"/>
          <w:szCs w:val="17"/>
          <w:lang w:eastAsia="es-ES"/>
        </w:rPr>
        <w:t>R.A. = SB × 335 + [(PS + PE) × (Número de días efectivos de trabajo)] + Vacaciones + PJ + PN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Siendo: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R.A. = Remuneración Anual.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S.B. = Salario Base.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P.S. = Pluses salariales.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P.E. = Pluses extrasalariales.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P.J. = Paga de junio.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P.N. = Paga de Navidad.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Se establece una remuneración mínima bruta anual para el sector de la construcción a 1 de enero de 2012, para trabajadores a jornada completa, computándose a estos efectos la totalidad de los conceptos retributivos a percibir.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convenios provinciales deberán adaptar sus tablas salariales, a la siguiente tabla de remuneración mínima bruta anual por niveles profesionales:</w:t>
      </w:r>
    </w:p>
    <w:tbl>
      <w:tblPr>
        <w:jc w:val="center"/>
        <w:tblBorders>
          <w:top w:color="00000A" w:space="0" w:sz="6" w:val="thickThinLargeGap"/>
          <w:left w:color="00000A" w:space="0" w:sz="6" w:val="thickThinLargeGap"/>
          <w:bottom w:color="00000A" w:space="0" w:sz="6" w:val="thickThinLargeGap"/>
          <w:right w:color="00000A" w:space="0" w:sz="6" w:val="thickThinLargeGap"/>
        </w:tblBorders>
      </w:tblPr>
      <w:tblGrid>
        <w:gridCol w:w="1814"/>
        <w:gridCol w:w="2265"/>
      </w:tblGrid>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bookmarkStart w:id="121" w:name="LOC_ART.50#TAB.0"/>
            <w:bookmarkStart w:id="122" w:name="LOC_ART.50.TAB.0"/>
            <w:bookmarkEnd w:id="121"/>
            <w:bookmarkEnd w:id="122"/>
            <w:r>
              <w:rPr>
                <w:rFonts w:ascii="Times New Roman" w:cs="Times New Roman" w:eastAsia="Times New Roman" w:hAnsi="Times New Roman"/>
                <w:sz w:val="14"/>
                <w:szCs w:val="14"/>
                <w:lang w:eastAsia="es-ES"/>
              </w:rPr>
              <w:t>Nivel XII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15.296,01</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XI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15.525,45</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X</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15.758,33</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IX</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15.994,70</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VIII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16.234,61</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VII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16.478,12</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VI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16.725,29</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V</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16.976,16</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IV</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17.230,80</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III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17.489,26</w:t>
            </w:r>
          </w:p>
        </w:tc>
      </w:tr>
      <w:tr>
        <w:trPr>
          <w:cantSplit w:val="false"/>
        </w:trPr>
        <w:tc>
          <w:tcPr>
            <w:tcW w:type="dxa" w:w="1814"/>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Nivel II</w:t>
            </w:r>
          </w:p>
        </w:tc>
        <w:tc>
          <w:tcPr>
            <w:tcW w:type="dxa" w:w="2265"/>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17.751,59</w:t>
            </w:r>
          </w:p>
        </w:tc>
      </w:tr>
    </w:tbl>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Esta tabla de remuneración mínima bruta anual pactada para el año 2012 se actualizará cada año conforme a lo expuesto en el presente Convenio en relación con los incrementos y la cláusula de garantía salarial.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Teniendo en cuenta las especiales circunstancias por las que atraviesa el sector y en algunas provincias especialmente deprimidas, los convenios provinciales que en sus tablas salariales y por todos los conceptos y cómputo anual se vean afectados por la presente remuneración mínima bruta anual fijada en este Convenio adaptarán las mismas mediante los acuerdos pertinentes que se adopten en su ámbito.</w:t>
      </w:r>
    </w:p>
    <w:p>
      <w:pPr>
        <w:pStyle w:val="style0"/>
        <w:shd w:fill="FFFFFF" w:val="clear"/>
        <w:spacing w:after="28" w:before="28" w:line="300" w:lineRule="atLeast"/>
        <w:jc w:val="both"/>
      </w:pPr>
      <w:bookmarkStart w:id="123" w:name="LOC_ART.51"/>
      <w:bookmarkStart w:id="124" w:name="SE66"/>
      <w:bookmarkEnd w:id="123"/>
      <w:bookmarkEnd w:id="124"/>
      <w:r>
        <w:rPr>
          <w:rFonts w:ascii="Verdana" w:cs="Times New Roman" w:eastAsia="Times New Roman" w:hAnsi="Verdana"/>
          <w:b/>
          <w:bCs/>
          <w:caps/>
          <w:color w:val="0087AD"/>
          <w:sz w:val="17"/>
          <w:lang w:eastAsia="es-ES"/>
        </w:rPr>
        <w:t>ARTÍCULO 51.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Pago de las percepciones económicas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Todas las percepciones, excepto las de vencimiento superior al mes, se abonarán mensualmente por períodos vencidos y dentro de los cinco primeros días hábiles del mes siguiente al de su devengo, aunque el trabajador tendrá derecho a percibir quincenalmente anticipos cuya cuantía no será superior al 90 por 100 de las cantidades devengadas.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empresas destinarán al pago la hora inmediatamente siguiente a la finalización de la jornada ordinaria, en las fechas habituales de pago. Cuando por necesidades organizativas se realice el pago dentro de la jornada laboral ésta se interrumpirá y se prolongará después del horario de trabajo por el tiempo invertido en el pago, sin que en ningún caso tal prolongación pueda exceder en más de una hora.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tiempo invertido en el pago de retribuciones y anticipos a cuenta de las mismas quedará exento del cómputo de la jornada laboral, considerándose como de mera permanencia en el centro de trabajo y, por tanto, no retribuido a ningún efecto.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Las empresas quedan facultadas para pagar las retribuciones y anticipos a cuenta de los mismos mediante cheque, transferencia u otra modalidad de pago a través de entidad bancaria o financiera. Si la modalidad de pago fuera el cheque el tiempo invertido en su cobro será por cuenta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El trabajador deberá facilitar a la empresa, al tiempo de su ingreso o incorporación a la misma, su Número de Identificación Fiscal (NIF), de conformidad con la normativa aplicable al respecto.</w:t>
      </w:r>
    </w:p>
    <w:p>
      <w:pPr>
        <w:pStyle w:val="style0"/>
        <w:shd w:fill="FFFFFF" w:val="clear"/>
        <w:spacing w:after="28" w:before="28" w:line="300" w:lineRule="atLeast"/>
        <w:jc w:val="both"/>
      </w:pPr>
      <w:bookmarkStart w:id="125" w:name="LOC_ART.52"/>
      <w:bookmarkStart w:id="126" w:name="SE67"/>
      <w:bookmarkEnd w:id="125"/>
      <w:bookmarkEnd w:id="126"/>
      <w:r>
        <w:rPr>
          <w:rFonts w:ascii="Verdana" w:cs="Times New Roman" w:eastAsia="Times New Roman" w:hAnsi="Verdana"/>
          <w:b/>
          <w:bCs/>
          <w:caps/>
          <w:color w:val="0087AD"/>
          <w:sz w:val="17"/>
          <w:lang w:eastAsia="es-ES"/>
        </w:rPr>
        <w:t>ARTÍCULO 52.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Incrementos económicos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tablas provinciales del año 2011 y vigentes durante el ejercicio se actualizarán en 1 por 100 con efectos desde el día 1 de enero de 2012.</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importe de las dietas y medias dietas de acuerdo con lo dispuesto en el art. 83.6 de este Convenio se fijará en el marco de los respectivos convenios colectivos provinciales o, en su caso, autonómicos.</w:t>
      </w:r>
    </w:p>
    <w:p>
      <w:pPr>
        <w:pStyle w:val="style0"/>
        <w:shd w:fill="FFFFFF" w:val="clear"/>
        <w:spacing w:after="28" w:before="28" w:line="300" w:lineRule="atLeast"/>
        <w:jc w:val="both"/>
      </w:pPr>
      <w:bookmarkStart w:id="127" w:name="LOC_ART.53"/>
      <w:bookmarkStart w:id="128" w:name="SE68"/>
      <w:bookmarkEnd w:id="127"/>
      <w:bookmarkEnd w:id="128"/>
      <w:r>
        <w:rPr>
          <w:rFonts w:ascii="Verdana" w:cs="Times New Roman" w:eastAsia="Times New Roman" w:hAnsi="Verdana"/>
          <w:b/>
          <w:bCs/>
          <w:caps/>
          <w:color w:val="0087AD"/>
          <w:sz w:val="17"/>
          <w:lang w:eastAsia="es-ES"/>
        </w:rPr>
        <w:t>ARTÍCULO 53.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Cláusula de garantía salarial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Teniendo en cuenta las especiales dificultades por las que atraviesa el sector de la construcción y haciendo los agentes sociales una importante labor de responsabilidad a este respecto, para el año 2012 se realizará una revisión económica trascurrido dicho ejercicio conforme al IPC Real del mismo cuando éste supere el 2 por 100 de manera que hasta este porcentaje no se aplicará el citado sistema de revisión.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Asimismo la revisión económica antes citada se hará con efecto desde el día 1 de enero del año 2012 afectando al salario base, gratificaciones extraordinarias, retribución de vacaciones y pluses salariales y extrasalariales.</w:t>
      </w:r>
    </w:p>
    <w:p>
      <w:pPr>
        <w:pStyle w:val="style0"/>
        <w:shd w:fill="FFFFFF" w:val="clear"/>
        <w:spacing w:after="28" w:before="28" w:line="300" w:lineRule="atLeast"/>
        <w:jc w:val="both"/>
      </w:pPr>
      <w:bookmarkStart w:id="129" w:name="LOC_ART.54"/>
      <w:bookmarkStart w:id="130" w:name="SE69"/>
      <w:bookmarkEnd w:id="129"/>
      <w:bookmarkEnd w:id="130"/>
      <w:r>
        <w:rPr>
          <w:rFonts w:ascii="Verdana" w:cs="Times New Roman" w:eastAsia="Times New Roman" w:hAnsi="Verdana"/>
          <w:b/>
          <w:bCs/>
          <w:caps/>
          <w:color w:val="0087AD"/>
          <w:sz w:val="17"/>
          <w:lang w:eastAsia="es-ES"/>
        </w:rPr>
        <w:t>ARTÍCULO 54.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Absorción y compensación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percepciones económicas cuantificadas que se establezcan por los convenios de cualquier ámbito en el sector de la construcción tendrán el carácter de mínimas en su ámbito de 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 la entrada en vigor de un nuevo convenio o disposición legal aplicables, las empresas afectadas podrán absorber y compensar los aumentos o mejoras que aquéllos contengan, cuando las percepciones económicas realmente abonadas a los trabajadores, cualquiera que sea su origen, sean superiores en su conjunto y cómputo anual.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 absorción y compensación sólo se podrán efectuar comparando globalmente conceptos de naturaleza salarial o de naturaleza extrasalarial y en cómputo anual.</w:t>
      </w:r>
    </w:p>
    <w:p>
      <w:pPr>
        <w:pStyle w:val="style0"/>
        <w:shd w:fill="FFFFFF" w:val="clear"/>
        <w:spacing w:after="28" w:before="28" w:line="300" w:lineRule="atLeast"/>
        <w:jc w:val="both"/>
      </w:pPr>
      <w:bookmarkStart w:id="131" w:name="LOC_ART.55"/>
      <w:bookmarkStart w:id="132" w:name="SE70"/>
      <w:bookmarkEnd w:id="131"/>
      <w:bookmarkEnd w:id="132"/>
      <w:r>
        <w:rPr>
          <w:rFonts w:ascii="Verdana" w:cs="Times New Roman" w:eastAsia="Times New Roman" w:hAnsi="Verdana"/>
          <w:b/>
          <w:bCs/>
          <w:caps/>
          <w:color w:val="0087AD"/>
          <w:sz w:val="17"/>
          <w:lang w:eastAsia="es-ES"/>
        </w:rPr>
        <w:t>ARTÍCULO 55.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Antigüedad consolidada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Como consecuencia del Acuerdo Sectorial Nacional de la Construcción sobre el concepto económico de antigüedad firmado el 18 de octubre de 1996 (BOE de 21 de noviembre de 1996), se asumen por ambas partes firmantes los siguientes compromisos: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trabajadores mantendrán y consolidarán los importes a los que tuvieran derecho, por el complemento personal de antigüedad, el 21 de noviembre de 1996.</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 importe anterior así determinado se adicionará, en su caso, a cada trabajador que ya viniera percibiendo alguna cuantía por este concepto, el importe equivalente a la parte proporcional de antigüedad que el trabajador tuviera devengada y no cobrada al 21 de noviembre de 1996, calculándose por defecto o por exceso, por años completos. Para el cálculo de los importes de esta parte de antigüedad devengada y no cobrada se tendrán en cuenta los importes que para cada categoría y nivel fije cada convenio de ámbito inferior.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importes obtenidos, al amparo de lo previsto en la letra a) se mantendrán invariables y por tiempo indefinido como un complemento retributivo «ad personam», es decir, no sufrirán modificaciones en ningún sentido y por ninguna causa, extinguiéndose juntamente con la extinción del contrato del trabajador afectado con su empresa. Dicho complemento retributivo «ad personam» se reflejará en los recibos oficiales de salario con la denominación de «antigüedad consolidada».</w:t>
      </w:r>
    </w:p>
    <w:p>
      <w:pPr>
        <w:pStyle w:val="style0"/>
        <w:shd w:fill="FFFFFF" w:val="clear"/>
        <w:spacing w:after="28" w:before="28" w:line="300" w:lineRule="atLeast"/>
        <w:jc w:val="both"/>
      </w:pPr>
      <w:bookmarkStart w:id="133" w:name="LOC_ART.56"/>
      <w:bookmarkStart w:id="134" w:name="SE71"/>
      <w:bookmarkEnd w:id="133"/>
      <w:bookmarkEnd w:id="134"/>
      <w:r>
        <w:rPr>
          <w:rFonts w:ascii="Verdana" w:cs="Times New Roman" w:eastAsia="Times New Roman" w:hAnsi="Verdana"/>
          <w:b/>
          <w:bCs/>
          <w:caps/>
          <w:color w:val="0087AD"/>
          <w:sz w:val="17"/>
          <w:lang w:eastAsia="es-ES"/>
        </w:rPr>
        <w:t>ARTÍCULO 56.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Complemento por discapacidad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trabajadores que, reconocidos por el organismo oficial correspondiente, acrediten los grados de discapacidad que se recogen a continuación, percibirán como complemento personal las cantidades que se detallan:</w:t>
      </w:r>
    </w:p>
    <w:tbl>
      <w:tblPr>
        <w:jc w:val="center"/>
        <w:tblBorders>
          <w:top w:color="00000A" w:space="0" w:sz="6" w:val="thickThinLargeGap"/>
          <w:left w:color="00000A" w:space="0" w:sz="6" w:val="thickThinLargeGap"/>
          <w:bottom w:color="00000A" w:space="0" w:sz="6" w:val="thickThinLargeGap"/>
          <w:right w:color="00000A" w:space="0" w:sz="6" w:val="thickThinLargeGap"/>
        </w:tblBorders>
      </w:tblPr>
      <w:tblGrid>
        <w:gridCol w:w="4257"/>
        <w:gridCol w:w="4262"/>
      </w:tblGrid>
      <w:tr>
        <w:trPr>
          <w:cantSplit w:val="false"/>
        </w:trPr>
        <w:tc>
          <w:tcPr>
            <w:tcW w:type="dxa" w:w="425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bookmarkStart w:id="135" w:name="LOC_ART.56#TAB.1"/>
            <w:bookmarkStart w:id="136" w:name="LOC_ART.56.TAB.1"/>
            <w:bookmarkEnd w:id="135"/>
            <w:bookmarkEnd w:id="136"/>
            <w:r>
              <w:rPr>
                <w:rFonts w:ascii="Times New Roman" w:cs="Times New Roman" w:eastAsia="Times New Roman" w:hAnsi="Times New Roman"/>
                <w:sz w:val="14"/>
                <w:szCs w:val="14"/>
                <w:lang w:eastAsia="es-ES"/>
              </w:rPr>
              <w:t>Grados de discapacidad comprendido entre el</w:t>
            </w:r>
          </w:p>
        </w:tc>
        <w:tc>
          <w:tcPr>
            <w:tcW w:type="dxa" w:w="4262"/>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Importe bruto por mes natural del complemento</w:t>
            </w:r>
          </w:p>
        </w:tc>
      </w:tr>
      <w:tr>
        <w:trPr>
          <w:cantSplit w:val="false"/>
        </w:trPr>
        <w:tc>
          <w:tcPr>
            <w:tcW w:type="dxa" w:w="425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13 por 100 y 22 por 100</w:t>
            </w:r>
          </w:p>
        </w:tc>
        <w:tc>
          <w:tcPr>
            <w:tcW w:type="dxa" w:w="4262"/>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17 euros</w:t>
            </w:r>
          </w:p>
        </w:tc>
      </w:tr>
      <w:tr>
        <w:trPr>
          <w:cantSplit w:val="false"/>
        </w:trPr>
        <w:tc>
          <w:tcPr>
            <w:tcW w:type="dxa" w:w="425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23 por 100 y 32 por 100</w:t>
            </w:r>
          </w:p>
        </w:tc>
        <w:tc>
          <w:tcPr>
            <w:tcW w:type="dxa" w:w="4262"/>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24 euros</w:t>
            </w:r>
          </w:p>
        </w:tc>
      </w:tr>
      <w:tr>
        <w:trPr>
          <w:cantSplit w:val="false"/>
        </w:trPr>
        <w:tc>
          <w:tcPr>
            <w:tcW w:type="dxa" w:w="425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33 por 100 o superior</w:t>
            </w:r>
          </w:p>
        </w:tc>
        <w:tc>
          <w:tcPr>
            <w:tcW w:type="dxa" w:w="4262"/>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34 euros</w:t>
            </w:r>
          </w:p>
        </w:tc>
      </w:tr>
    </w:tbl>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grado de discapacidad será único y generará, por tanto, el derecho a un solo complemento no pudiendo, en consecuencia, acumularse al grado ya existente otro superior que pudiera reconocerse con posterioridad. Si el grado de discapacidad se redujese el complemento a percibir se acomodará al nuevo tanto por ciento reconocido.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el supuesto de que por la empresa se viniese ya abonando un complemento, ayuda o prestación que responda a la compensación de situaciones análogas a la establecida en el presente artículo, aquélla podrá aplicar al pago de este complemento personal la cantidad que ya venga abonando por similar concepto sin que, por tanto, se genere el derecho a un pago duplicado.</w:t>
      </w:r>
    </w:p>
    <w:p>
      <w:pPr>
        <w:pStyle w:val="style0"/>
        <w:shd w:fill="FFFFFF" w:val="clear"/>
        <w:spacing w:after="28" w:before="28" w:line="300" w:lineRule="atLeast"/>
        <w:jc w:val="both"/>
      </w:pPr>
      <w:bookmarkStart w:id="137" w:name="LOC_ART.57"/>
      <w:bookmarkStart w:id="138" w:name="SE72"/>
      <w:bookmarkEnd w:id="137"/>
      <w:bookmarkEnd w:id="138"/>
      <w:r>
        <w:rPr>
          <w:rFonts w:ascii="Verdana" w:cs="Times New Roman" w:eastAsia="Times New Roman" w:hAnsi="Verdana"/>
          <w:b/>
          <w:bCs/>
          <w:caps/>
          <w:color w:val="0087AD"/>
          <w:sz w:val="17"/>
          <w:lang w:eastAsia="es-ES"/>
        </w:rPr>
        <w:t>ARTÍCULO 57.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Gratificaciones extraordinarias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trabajador tendrá derecho exclusivamente a dos gratificaciones extraordinarias al año, que se abonarán en los meses de junio y diciembre antes de los días 30 y 20 de cada uno de ellos, respectivamente.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cuantía de las pagas extraordinarias de junio y diciembre se determinará, para cada uno de los niveles y categorías, en la tabla de cada convenio colectivo de ámbito inferior al presente, sea cual fuere la cuantía de la remuneración y la modalidad del trabajo prestado.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Dichas pagas extraordinarias no se devengarán mientras dure cualquiera de las causas de suspensión del contrato previstas en el art. 45 del E.T.</w:t>
      </w:r>
    </w:p>
    <w:p>
      <w:pPr>
        <w:pStyle w:val="style0"/>
        <w:shd w:fill="FFFFFF" w:val="clear"/>
        <w:spacing w:after="28" w:before="28" w:line="300" w:lineRule="atLeast"/>
        <w:jc w:val="both"/>
      </w:pPr>
      <w:bookmarkStart w:id="139" w:name="LOC_ART.58"/>
      <w:bookmarkStart w:id="140" w:name="SE73"/>
      <w:bookmarkEnd w:id="139"/>
      <w:bookmarkEnd w:id="140"/>
      <w:r>
        <w:rPr>
          <w:rFonts w:ascii="Verdana" w:cs="Times New Roman" w:eastAsia="Times New Roman" w:hAnsi="Verdana"/>
          <w:b/>
          <w:bCs/>
          <w:caps/>
          <w:color w:val="0087AD"/>
          <w:sz w:val="17"/>
          <w:lang w:eastAsia="es-ES"/>
        </w:rPr>
        <w:t>ARTÍCULO 58.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Prohibición del prorrateo y proporcionalidad en el devengo de las pagas extraordinarias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prohíbe para los nuevos contratos el prorrateo de las pagas extraordinarias y de la indemnización por finalización de contrato, prohibiéndose por tanto, con carácter general el pacto por salario global. El prorrateo de las pagas extraordinarias o el de la indemnización por finalización de contrato se considerarán como salario ordinario correspondiente al período en que indebidamente se haya incluido dicho prorrateo, todo ello salvo lo establecido en el párrafo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importe de las pagas extraordinarias para el personal que, en razón de su permanencia, no tenga derecho a la totalidad de su cuantía, será abonado proporcionalmente conforme a los siguientes criterios: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El personal que ingrese o cese en el transcurso de cada semestre natural, devengará la paga en proporción al tiempo de permanencia en la empresa durante 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Al personal que cese en el semestre respectivo, se le hará efectiva la parte proporcional de la gratificación en el momento de realizar la liquidación de sus haberes.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personal que preste sus servicios en jornada reducida o a tiempo parcial, devengará las pagas extraordinarias en proporción al tiempo efectivamente trabajado.</w:t>
      </w:r>
    </w:p>
    <w:p>
      <w:pPr>
        <w:pStyle w:val="style0"/>
        <w:shd w:fill="FFFFFF" w:val="clear"/>
        <w:spacing w:after="28" w:before="28" w:line="300" w:lineRule="atLeast"/>
        <w:jc w:val="both"/>
      </w:pPr>
      <w:bookmarkStart w:id="141" w:name="LOC_ART.59"/>
      <w:bookmarkStart w:id="142" w:name="SE74"/>
      <w:bookmarkEnd w:id="141"/>
      <w:bookmarkEnd w:id="142"/>
      <w:r>
        <w:rPr>
          <w:rFonts w:ascii="Verdana" w:cs="Times New Roman" w:eastAsia="Times New Roman" w:hAnsi="Verdana"/>
          <w:b/>
          <w:bCs/>
          <w:caps/>
          <w:color w:val="0087AD"/>
          <w:sz w:val="17"/>
          <w:lang w:eastAsia="es-ES"/>
        </w:rPr>
        <w:t>ARTÍCULO 59.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excepcionalmente penosos, tóxicos o peligrosos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 los trabajadores que tengan que realizar labores que resulten excepcionalmente penosas, tóxicas o peligrosas, deberá abonárseles un incremento del 20 por 100 sobre su salario base. Si estas funciones se efectuaran durante la mitad de la jornada o en menos tiempo, el plus será del 10 por 100.</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cantidades iguales o superiores al plus fijado en este artículo que estén establecidas o se establezcan por las empresas, serán respetadas siempre que hayan sido concedidas por los conceptos de excepcional penosidad, toxicidad o peligrosidad, en cuyo caso no será exigible el abono de los incrementos fijados en este artículo. Tampoco vendrán obligadas a satisfacer los citados aumentos aquellas empresas que los tengan incluidos, en igual o superior cuantía, en el salario de calificación del puesto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 por cualquier causa desaparecieran las condiciones de excepcional penosidad, toxicidad o peligrosidad, dejarán de abonarse los indicados incrementos no teniendo, por tanto, carácter consolidable.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caso de discrepancia entre las partes sobre si un determinado trabajo, labor o actividad debe calificarse como excepcionalmente penoso, tóxico o peligroso, corresponde a la jurisdicción competente resolver lo procedente.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Aquellos convenios colectivos provinciales que a la entrada en vigor del presente Convenio General tengan reconocido un plus penoso, tóxico o peligroso superior, lo mantendrán como condición más beneficiosa.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Las partes firmantes reconocen la importancia que tiene para el conjunto del sector la progresiva desaparición de este tipo de trabajos o, cuando menos, la reducción al mínimo posible de las condiciones de penosidad, toxicidad o peligrosidad que repercuten negativamente en la salud y seguridad de los trabajadores teniendo estos trabajadores, en cualquier caso, carácter transitorio y coyuntural.</w:t>
      </w:r>
    </w:p>
    <w:p>
      <w:pPr>
        <w:pStyle w:val="style0"/>
        <w:shd w:fill="FFFFFF" w:val="clear"/>
        <w:spacing w:after="28" w:before="28" w:line="300" w:lineRule="atLeast"/>
        <w:jc w:val="both"/>
      </w:pPr>
      <w:bookmarkStart w:id="143" w:name="LOC_ART.60"/>
      <w:bookmarkStart w:id="144" w:name="SE75"/>
      <w:bookmarkEnd w:id="143"/>
      <w:bookmarkEnd w:id="144"/>
      <w:r>
        <w:rPr>
          <w:rFonts w:ascii="Verdana" w:cs="Times New Roman" w:eastAsia="Times New Roman" w:hAnsi="Verdana"/>
          <w:b/>
          <w:bCs/>
          <w:caps/>
          <w:color w:val="0087AD"/>
          <w:sz w:val="17"/>
          <w:lang w:eastAsia="es-ES"/>
        </w:rPr>
        <w:t>ARTÍCULO 60.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nocturnos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personal que trabaje entre las veintidós horas y las seis de la mañana, percibirá un plus de trabajo nocturno equivalente al 25 por 100 del salario base de su categoría.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Si el tiempo trabajado en el período nocturno fuese inferior a cuatro horas, se abonará el plus sobre el tiempo trabajado efectivamente. Si las horas nocturnas exceden de cuatro, se abonará el complemento correspondiente a toda la jornada trabajada.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existan dos turnos y en cualquiera de ellos se trabaje solamente una hora del período nocturno, no será abonada ésta con complemento de nocturnidad.</w:t>
      </w:r>
    </w:p>
    <w:p>
      <w:pPr>
        <w:pStyle w:val="style0"/>
        <w:shd w:fill="FFFFFF" w:val="clear"/>
        <w:spacing w:after="28" w:before="28" w:line="300" w:lineRule="atLeast"/>
        <w:jc w:val="both"/>
      </w:pPr>
      <w:bookmarkStart w:id="145" w:name="LOC_ART.61"/>
      <w:bookmarkStart w:id="146" w:name="SE76"/>
      <w:bookmarkEnd w:id="145"/>
      <w:bookmarkEnd w:id="146"/>
      <w:r>
        <w:rPr>
          <w:rFonts w:ascii="Verdana" w:cs="Times New Roman" w:eastAsia="Times New Roman" w:hAnsi="Verdana"/>
          <w:b/>
          <w:bCs/>
          <w:caps/>
          <w:color w:val="0087AD"/>
          <w:sz w:val="17"/>
          <w:lang w:eastAsia="es-ES"/>
        </w:rPr>
        <w:t>ARTÍCULO 61.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Pluses extrasalariales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el fin de compensar los gastos que se producen a los trabajadores para acudir a sus puestos de trabajo, teniendo en cuenta la movilidad de los mismos, que constituye una característica de este sector, y cualquiera que sea la distancia a recorrer, se podrá establecer un plus extrasalarial de distancia y transporte, calculado por día efectivo de trabajo que, de igual cuantía para todos los grupos y categorías, se determinará en tabla anexa a cada convenio colectivo de ámbito inferior al presente.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Otros pluses extrasalariales, como los de herramientas y ropa de trabajo, se podrán establecer en los convenios de ámbito inferior para compensar los gastos originados al trabajador, dentro de los límites establecidos en el art. 48.2.b) del presente Convenio.</w:t>
      </w:r>
    </w:p>
    <w:p>
      <w:pPr>
        <w:pStyle w:val="style0"/>
        <w:shd w:fill="FFFFFF" w:val="clear"/>
        <w:spacing w:after="28" w:before="28" w:line="300" w:lineRule="atLeast"/>
        <w:jc w:val="both"/>
      </w:pPr>
      <w:bookmarkStart w:id="147" w:name="LOC_ART.62"/>
      <w:bookmarkStart w:id="148" w:name="SE77"/>
      <w:bookmarkEnd w:id="147"/>
      <w:bookmarkEnd w:id="148"/>
      <w:r>
        <w:rPr>
          <w:rFonts w:ascii="Verdana" w:cs="Times New Roman" w:eastAsia="Times New Roman" w:hAnsi="Verdana"/>
          <w:b/>
          <w:bCs/>
          <w:caps/>
          <w:color w:val="0087AD"/>
          <w:sz w:val="17"/>
          <w:lang w:eastAsia="es-ES"/>
        </w:rPr>
        <w:t>ARTÍCULO 62.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Corrección del absentismo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partes signatarias del presente Convenio reconocen el grave problema que para nuestra sociedad supone el absentismo y el quebranto que en la economía produce el mismo cuando se superan determinados niveles, así como la necesidad de reducirlo, dada su negativa incidencia en la productividad.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consecuencia, y tendiendo siempre a un aumento de la presencia del trabajador en su puesto de trabajo, se incluirán en los convenios colectivos de ámbito inferior al presente cláusulas tendentes a la corrección del absentismo.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 efecto, y en orden a la consecución del fin perseguido, se deberá incluir en los convenios colectivos la estipulación siguiente u otra análoga: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Plus o prima de Asistencia y Actividad.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indicado plus o prima, cuando se pacte, se devengará por cada día efectivamente trabajado con el rendimiento normal exigible y, mediante tabla anexa, se determinará la cuantía del mismo de forma que su importe por día de trabajo disminuya o sea decreciente a medida que aumenten las horas de ausencia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 determinarse este plus salarial en las tablas de cada convenio colectivo se tendrá en cuenta el límite porcentual establecido en el art. 48.2.c) de este Convenio.</w:t>
      </w:r>
    </w:p>
    <w:p>
      <w:pPr>
        <w:pStyle w:val="style0"/>
        <w:shd w:fill="FFFFFF" w:val="clear"/>
        <w:spacing w:after="28" w:before="28" w:line="300" w:lineRule="atLeast"/>
        <w:jc w:val="both"/>
      </w:pPr>
      <w:bookmarkStart w:id="149" w:name="LOC_ART.63"/>
      <w:bookmarkStart w:id="150" w:name="SE78"/>
      <w:bookmarkEnd w:id="149"/>
      <w:bookmarkEnd w:id="150"/>
      <w:r>
        <w:rPr>
          <w:rFonts w:ascii="Verdana" w:cs="Times New Roman" w:eastAsia="Times New Roman" w:hAnsi="Verdana"/>
          <w:b/>
          <w:bCs/>
          <w:caps/>
          <w:color w:val="0087AD"/>
          <w:sz w:val="17"/>
          <w:lang w:eastAsia="es-ES"/>
        </w:rPr>
        <w:t>ARTÍCULO 63.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Realización de horas extraordinarias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horas extraordinarias, en todo caso y por su naturaleza, serán voluntarias de acuerdo con las disposiciones vigentes, excepto las que tengan su causa en fuerza mayor.</w:t>
      </w:r>
    </w:p>
    <w:p>
      <w:pPr>
        <w:pStyle w:val="style0"/>
        <w:shd w:fill="FFFFFF" w:val="clear"/>
        <w:spacing w:after="28" w:before="28" w:line="300" w:lineRule="atLeast"/>
        <w:jc w:val="both"/>
      </w:pPr>
      <w:bookmarkStart w:id="151" w:name="LOC_ART.64"/>
      <w:bookmarkStart w:id="152" w:name="SE79"/>
      <w:bookmarkEnd w:id="151"/>
      <w:bookmarkEnd w:id="152"/>
      <w:r>
        <w:rPr>
          <w:rFonts w:ascii="Verdana" w:cs="Times New Roman" w:eastAsia="Times New Roman" w:hAnsi="Verdana"/>
          <w:b/>
          <w:bCs/>
          <w:caps/>
          <w:color w:val="0087AD"/>
          <w:sz w:val="17"/>
          <w:lang w:eastAsia="es-ES"/>
        </w:rPr>
        <w:t>ARTÍCULO 64.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Límite de horas extraordinarias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consideran horas extraordinarias, además de las que tengan su causa en fuerza mayor, las motivadas por pedidos o puntas de producción, ausencias imprevistas, cambio de turno y pérdida o deterioro de la producción, o por cualquier circunstancia que altere el proceso normal de producción.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número de horas extraordinarias que realice cada trabajador, salvo en los supuestos de fuerza mayor, no excederá de 80 al año.</w:t>
      </w:r>
    </w:p>
    <w:p>
      <w:pPr>
        <w:pStyle w:val="style0"/>
        <w:shd w:fill="FFFFFF" w:val="clear"/>
        <w:spacing w:after="28" w:before="28" w:line="300" w:lineRule="atLeast"/>
        <w:jc w:val="both"/>
      </w:pPr>
      <w:bookmarkStart w:id="153" w:name="LOC_ART.65"/>
      <w:bookmarkStart w:id="154" w:name="SE80"/>
      <w:bookmarkEnd w:id="153"/>
      <w:bookmarkEnd w:id="154"/>
      <w:r>
        <w:rPr>
          <w:rFonts w:ascii="Verdana" w:cs="Times New Roman" w:eastAsia="Times New Roman" w:hAnsi="Verdana"/>
          <w:b/>
          <w:bCs/>
          <w:caps/>
          <w:color w:val="0087AD"/>
          <w:sz w:val="17"/>
          <w:lang w:eastAsia="es-ES"/>
        </w:rPr>
        <w:t>ARTÍCULO 65.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Retribución de las horas extraordinarias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importes de las horas extraordinarias para cada una de las categorías o niveles se determinarán, en tabla anexa, en los convenios colectivos de ámbito inferior al presente.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empresas, siempre y cuando no se perturbe el normal proceso productivo, podrán compensar la retribución de las horas extraordinarias por tiempos equivalentes de descanso.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el supuesto de que se realizara la compensación prevista en el párrafo anterior, las horas extraordinarias compensadas no se computarán a los efectos de los límites fijados para las mismas en el artículo anterior.</w:t>
      </w:r>
    </w:p>
    <w:p>
      <w:pPr>
        <w:pStyle w:val="style0"/>
        <w:shd w:fill="FFFFFF" w:val="clear"/>
        <w:spacing w:after="28" w:before="28" w:line="300" w:lineRule="atLeast"/>
        <w:jc w:val="both"/>
      </w:pPr>
      <w:bookmarkStart w:id="155" w:name="LOC_ART.66"/>
      <w:bookmarkStart w:id="156" w:name="SE81"/>
      <w:bookmarkEnd w:id="155"/>
      <w:bookmarkEnd w:id="156"/>
      <w:r>
        <w:rPr>
          <w:rFonts w:ascii="Verdana" w:cs="Times New Roman" w:eastAsia="Times New Roman" w:hAnsi="Verdana"/>
          <w:b/>
          <w:bCs/>
          <w:caps/>
          <w:color w:val="0087AD"/>
          <w:sz w:val="17"/>
          <w:lang w:eastAsia="es-ES"/>
        </w:rPr>
        <w:t>ARTÍCULO 66.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Indemnizaciones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establecen las siguientes indemnizaciones para todos los trabajadores afectados por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En caso de muerte derivada de enfermedad común o accidente no laboral, el importe de una mensualidad de todos los conceptos de las tablas del convenio aplicable vigente en cada momento.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caso de muerte, incapacidad permanente absoluta o gran invalidez, derivadas de accidente de trabajo o enfermedad profesional será de 47.000 euros.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En caso de incapacidad permanente total derivada de accidente de trabajo o Enfermedad profesional será de 28.000 euros.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Salvo designación expresa de beneficiarios por el asegurado, la indemnización se hará efectiva al trabajador accidentado o, en caso de fallecimiento, a los herederos legales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Las indemnizaciones previstas en los apartados b) y c) de este artículo serán consideradas a cuenta de cualesquiera otras cantidades que pudieran ser reconocidas como consecuencia de la declaración de la responsabilidad civil de la empresa por la ocurrencia de alguna de las contingencias contempladas en este artículo, debiendo deducirse de éstas en todo caso habida cuenta de la naturaleza civil que tienen las mismas y ambas partes le reconocen.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A los efectos de acreditar el derecho a las indemnizaciones aquí pactadas se considerará como fecha del hecho causante aquélla en la que se produce el accidente de trabajo o la causa determinante de la enfermedad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Las indemnizaciones pactadas comenzarán a obligar a los treinta días de la publicación de este Convenio General.</w:t>
      </w:r>
    </w:p>
    <w:p>
      <w:pPr>
        <w:pStyle w:val="style0"/>
        <w:shd w:fill="FFFFFF" w:val="clear"/>
        <w:spacing w:after="28" w:before="28" w:line="300" w:lineRule="atLeast"/>
        <w:jc w:val="both"/>
      </w:pPr>
      <w:bookmarkStart w:id="157" w:name="LOC_ART.67"/>
      <w:bookmarkStart w:id="158" w:name="SE82"/>
      <w:bookmarkEnd w:id="157"/>
      <w:bookmarkEnd w:id="158"/>
      <w:r>
        <w:rPr>
          <w:rFonts w:ascii="Verdana" w:cs="Times New Roman" w:eastAsia="Times New Roman" w:hAnsi="Verdana"/>
          <w:b/>
          <w:bCs/>
          <w:caps/>
          <w:color w:val="0087AD"/>
          <w:sz w:val="17"/>
          <w:lang w:eastAsia="es-ES"/>
        </w:rPr>
        <w:t>ARTÍCULO 67.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Complemento en caso de hospitalización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 independencia de las prestaciones a cargo de la entidad gestora por incapacidad temporal derivada de enfermedad común y profesional, accidente laboral o no laboral, y sólo para los casos que sea necesaria la hospitalización, las empresas abonarán un complemento que, sumado a las prestaciones reglamentarias, garantice el 100 por 100 en del salario base y pluses salariales establecidos en el convenio provincial respectivo durante la aludida hospitalización y los sesenta días siguientes, siempre que continúe la situación de incapacidad temporal.</w:t>
      </w:r>
    </w:p>
    <w:p>
      <w:pPr>
        <w:pStyle w:val="style0"/>
        <w:shd w:fill="FFFFFF" w:val="clear"/>
        <w:spacing w:after="28" w:before="28" w:line="300" w:lineRule="atLeast"/>
        <w:jc w:val="both"/>
      </w:pPr>
      <w:bookmarkStart w:id="159" w:name="LOC_CAP.8"/>
      <w:bookmarkStart w:id="160" w:name="SE83"/>
      <w:bookmarkEnd w:id="159"/>
      <w:bookmarkEnd w:id="160"/>
      <w:r>
        <w:rPr>
          <w:rFonts w:ascii="Verdana" w:cs="Times New Roman" w:eastAsia="Times New Roman" w:hAnsi="Verdana"/>
          <w:b/>
          <w:bCs/>
          <w:color w:val="0087AD"/>
          <w:sz w:val="21"/>
          <w:lang w:eastAsia="es-ES"/>
        </w:rPr>
        <w:t>CAPÍTULO VIII.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TIEMPO DE TRABAJO</w:t>
      </w:r>
    </w:p>
    <w:p>
      <w:pPr>
        <w:pStyle w:val="style0"/>
        <w:shd w:fill="FFFFFF" w:val="clear"/>
        <w:spacing w:after="28" w:before="28" w:line="300" w:lineRule="atLeast"/>
        <w:jc w:val="both"/>
      </w:pPr>
      <w:bookmarkStart w:id="161" w:name="LOC_ART.68"/>
      <w:bookmarkStart w:id="162" w:name="SE84"/>
      <w:bookmarkEnd w:id="161"/>
      <w:bookmarkEnd w:id="162"/>
      <w:r>
        <w:rPr>
          <w:rFonts w:ascii="Verdana" w:cs="Times New Roman" w:eastAsia="Times New Roman" w:hAnsi="Verdana"/>
          <w:b/>
          <w:bCs/>
          <w:caps/>
          <w:color w:val="0087AD"/>
          <w:sz w:val="17"/>
          <w:lang w:eastAsia="es-ES"/>
        </w:rPr>
        <w:t>ARTÍCULO 68.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Jornada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jornada ordinaria anual durante el año 2012 será de 1.738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jornada ordinaria semanal será de cuarenta horas durante toda la vigencia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Aquellos convenios provinciales que a la entrada en vigor del presente tengan una jornada inferior, la mantendrán como condición más beneficiosa hasta ser alcanzados por éste.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Las empresas que, de acuerdo con la representación legal de los trabajadores, establezcan un calendario distribuyendo la jornada laboral pactada antes del día 30 de enero de cada año en los centros estables y en las obras con objeto de coordinar las actividades en la empresa, se regirán por el mismo. En dicho calendario se establecerán los días laborables y las horas diarias, que no podrán ser más de nueve.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ausencia de calendario pactado en los centros de trabajo en los plazos previstos se observará el calendario establecido en el convenio provincial o, en su caso, autonómico aplicable.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Cada convenio colectivo provincial o, en su caso, autonómico, establecerá un calendario laboral distribuyendo la jornada anual pactada. Dicho calendario, operará siempre que no se pacte entre la empresa y los representantes legales de los trabajadores una readaptación distinta en los diferentes centros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Teniendo en cuenta las diferentes condiciones climatológicas que inciden sobre las diversas ubicaciones de los centros de trabajo se pactará, en su caso, en cada convenio provincial la distribución variable de la jornada máxima anual, sin que en ningún caso se puedan sobrepasar nueve horas ordinarias de trabajo efectivo diarias.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se proceda a una distribución variable de la jornada se pactará la distribución variable correspondiente del salario global.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En cada centro de trabajo la empresa expondrá en lugar visible el calendario laboral pactado en el convenio provincial o, en su caso, autonómico, o para el propio centro de trabajo.</w:t>
      </w:r>
    </w:p>
    <w:p>
      <w:pPr>
        <w:pStyle w:val="style0"/>
        <w:shd w:fill="FFFFFF" w:val="clear"/>
        <w:spacing w:after="28" w:before="28" w:line="300" w:lineRule="atLeast"/>
        <w:jc w:val="both"/>
      </w:pPr>
      <w:bookmarkStart w:id="163" w:name="LOC_ART.69"/>
      <w:bookmarkStart w:id="164" w:name="SE85"/>
      <w:bookmarkEnd w:id="163"/>
      <w:bookmarkEnd w:id="164"/>
      <w:r>
        <w:rPr>
          <w:rFonts w:ascii="Verdana" w:cs="Times New Roman" w:eastAsia="Times New Roman" w:hAnsi="Verdana"/>
          <w:b/>
          <w:bCs/>
          <w:caps/>
          <w:color w:val="0087AD"/>
          <w:sz w:val="17"/>
          <w:lang w:eastAsia="es-ES"/>
        </w:rPr>
        <w:t>ARTÍCULO 69.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Prolongación de la jornada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jornada de los trabajadores con funciones de mantenimiento y reparación de instalaciones o maquinaria necesarias para la reanudación o continuidad del proceso productivo, así como del personal que ponga en marcha o cierre el trabajo de los demás, podrá ampliarse por el tiempo preciso sin que el exceso sobre la jornada ordinaria se compute como horas extraordinarias, debiendo abonarse, como mínimo, a prorrata del valor de la hora extraordinaria de trabajo.</w:t>
      </w:r>
    </w:p>
    <w:p>
      <w:pPr>
        <w:pStyle w:val="style0"/>
        <w:shd w:fill="FFFFFF" w:val="clear"/>
        <w:spacing w:after="28" w:before="28" w:line="300" w:lineRule="atLeast"/>
        <w:jc w:val="both"/>
      </w:pPr>
      <w:bookmarkStart w:id="165" w:name="LOC_ART.70"/>
      <w:bookmarkStart w:id="166" w:name="SE86"/>
      <w:bookmarkEnd w:id="165"/>
      <w:bookmarkEnd w:id="166"/>
      <w:r>
        <w:rPr>
          <w:rFonts w:ascii="Verdana" w:cs="Times New Roman" w:eastAsia="Times New Roman" w:hAnsi="Verdana"/>
          <w:b/>
          <w:bCs/>
          <w:caps/>
          <w:color w:val="0087AD"/>
          <w:sz w:val="17"/>
          <w:lang w:eastAsia="es-ES"/>
        </w:rPr>
        <w:t>ARTÍCULO 70.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Turnos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empresas podrán establecer turnos de trabajo por razones económicas, técnicas, organizativas o de producción, de conformidad con los arts. 36 y 41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empresas que, por las características de su actividad, necesiten establecer jornada ininterrumpida durante las veinticuatro horas del día, organizarán los turnos de tal modo que, salvo adscripción voluntaria, cada trabajador no podrá permanecer en el turno de noche más de dos semanas consecutivas.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las empresas en que se realice actividad laboral por equipos de trabajo en régimen de turnos, se podrá computar por períodos de hasta cuatro semanas el medio día de descanso semanal previsto en el apartado 1 del art. 37 del E.T. y en los términos que establezca la vigente normativa al respecto.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las empresas que tengan establecidos sistemas de turnos, el trabajador viene obligado a permanecer en su puesto de trabajo hasta la llegada del relevo. El tiempo trabajado durante la espera, sin perjuicio de su abono a prorrata del valor de la hora extraordinaria de trabajo, no se computará como jornada extraordinaria.</w:t>
      </w:r>
    </w:p>
    <w:p>
      <w:pPr>
        <w:pStyle w:val="style0"/>
        <w:shd w:fill="FFFFFF" w:val="clear"/>
        <w:spacing w:after="28" w:before="28" w:line="300" w:lineRule="atLeast"/>
        <w:jc w:val="both"/>
      </w:pPr>
      <w:bookmarkStart w:id="167" w:name="LOC_ART.71"/>
      <w:bookmarkStart w:id="168" w:name="SE87"/>
      <w:bookmarkEnd w:id="167"/>
      <w:bookmarkEnd w:id="168"/>
      <w:r>
        <w:rPr>
          <w:rFonts w:ascii="Verdana" w:cs="Times New Roman" w:eastAsia="Times New Roman" w:hAnsi="Verdana"/>
          <w:b/>
          <w:bCs/>
          <w:caps/>
          <w:color w:val="0087AD"/>
          <w:sz w:val="17"/>
          <w:lang w:eastAsia="es-ES"/>
        </w:rPr>
        <w:t>ARTÍCULO 71.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Recuperación de horas no trabajadas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70 por 100 de las horas no trabajadas por interrupción de la actividad debido a causas de fuerza mayor, accidentes atmosféricos, inclemencias del tiempo, falta de suministros o cualquier otra causa no imputable a la empresa, se recuperarán a razón de una hora diaria en los días laborables siguientes, previa comunicación a los trabajadores afectados y, en su caso, a sus representantes legales en el centro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el supuesto de que la referida interrupción alcance un período de tiempo superior a veinticuatro horas efectivas de trabajo, se estará a lo dispuesto en materia de suspensión del contrato por causa de fuerza mayor en el presente Convenio.</w:t>
      </w:r>
    </w:p>
    <w:p>
      <w:pPr>
        <w:pStyle w:val="style0"/>
        <w:shd w:fill="FFFFFF" w:val="clear"/>
        <w:spacing w:after="28" w:before="28" w:line="300" w:lineRule="atLeast"/>
        <w:jc w:val="both"/>
      </w:pPr>
      <w:bookmarkStart w:id="169" w:name="LOC_ART.72"/>
      <w:bookmarkStart w:id="170" w:name="SE88"/>
      <w:bookmarkEnd w:id="169"/>
      <w:bookmarkEnd w:id="170"/>
      <w:r>
        <w:rPr>
          <w:rFonts w:ascii="Verdana" w:cs="Times New Roman" w:eastAsia="Times New Roman" w:hAnsi="Verdana"/>
          <w:b/>
          <w:bCs/>
          <w:caps/>
          <w:color w:val="0087AD"/>
          <w:sz w:val="17"/>
          <w:lang w:eastAsia="es-ES"/>
        </w:rPr>
        <w:t>ARTÍCULO 72.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Jornadas especiales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exceptúan de la aplicación del régimen de jornada ordinaria de trabajo, previsto con carácter general en el presente Convenio colectivo, las actividades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 jornada de los porteros, guardas y vigilantes, será de setenta y dos horas semanales, remunerándose a prorrata de su salario base las que excedan de la jornada ordinaria establecida, con carácter general, en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la realización de trabajos subterráneos en que concurran circunstancias de especial penosidad derivadas de condiciones anormales de temperatura, humedad o como consecuencia del esfuerzo suplementario debido a la posición inhabitual del cuerpo al trabajar, la jornada ordinaria semanal de trabajo no podrá ser superior a treinta y cinco horas sin que, su distribución diaria pueda en ningún caso, exceder de seis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Los trabajos en los denominados «cajones de aire comprimido» tendrán la duración que señala la normativa específica al respecto.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Las empresas que estén abonando compensaciones económicas por trabajos excepcionalmente tóxicos, penosos o peligrosos, podrán pactar su sustitución por reducciones de jornada, en los términos que, en cada caso, se establezcan.</w:t>
      </w:r>
    </w:p>
    <w:p>
      <w:pPr>
        <w:pStyle w:val="style0"/>
        <w:shd w:fill="FFFFFF" w:val="clear"/>
        <w:spacing w:after="28" w:before="28" w:line="300" w:lineRule="atLeast"/>
        <w:jc w:val="both"/>
      </w:pPr>
      <w:bookmarkStart w:id="171" w:name="LOC_ART.73"/>
      <w:bookmarkStart w:id="172" w:name="SE89"/>
      <w:bookmarkEnd w:id="171"/>
      <w:bookmarkEnd w:id="172"/>
      <w:r>
        <w:rPr>
          <w:rFonts w:ascii="Verdana" w:cs="Times New Roman" w:eastAsia="Times New Roman" w:hAnsi="Verdana"/>
          <w:b/>
          <w:bCs/>
          <w:caps/>
          <w:color w:val="0087AD"/>
          <w:sz w:val="17"/>
          <w:lang w:eastAsia="es-ES"/>
        </w:rPr>
        <w:t>ARTÍCULO 73.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Vacaciones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personal afectado por el presente Convenio General, sea cual fuere su modalidad de contratación laboral, tendrá derecho al disfrute de un período de vacaciones anuales retribuidas de treinta días naturales de duración, de los cuales veintiún días tendrán que ser laborables, pudiéndose distribuir éstos en periodos de al menos diez días laborables e, iniciándose, en cualquier caso, su disfrute, en día laborable que no sea viernes.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vacaciones se disfrutarán por años naturales. El primer año de prestación de servicios en la empresa sólo se tendrá derecho al disfrute de la parte proporcional correspondiente al tiempo realmente trabajado durante dicho año.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derecho a vacaciones no es susceptible de compensación económica. No obstante, el personal que cese durante el transcurso del año, tendrá derecho al abono del salario correspondiente a la parte de vacaciones devengadas y no disfrutadas, como concepto integrante de la liquidación por su baja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A efectos del devengo de vacaciones, se considerará como tiempo efectivamente trabajado el correspondiente a la situación de incapacidad temporal, sea cual fuere su causa. No obstante, con carácter general, dado que el derecho al disfrute de vacaciones caduca con el transcurso del año natural, se perderá el mismo si al vencimiento de éste el trabajador continuase de baja, aunque mantendrá el derecho a percibir la diferencia que pudiera existir entre la retribución de vacaciones y la prestación de incapacidad temporal.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Cuando el período de vacaciones fijado en el calendario de vacaciones de la empresa coincida en el tiempo con una incapacidad temporal derivada del embarazo, el parto o la lactancia natural o con el período de suspensión del contrato de trabajo previsto en el art. 48.4 del E.T., se tendrá derecho a disfrutar las vacaciones en fecha distinta a la de la incapacidad temporal o a la del disfrute del permiso que por aplicación de dicho precepto le correspondiera, al finalizar el período de suspensión, aunque haya terminado el año natural a que correspondan.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Una vez iniciado el disfrute del período reglamentario de vacaciones, si sobreviene la situación de incapacidad temporal, la duración de la misma se computará como días de vacación, sin perjuicio del derecho del trabajador a percibir la diferencia que pudiera existir entre la retribución correspondiente a vacaciones y la prestación de incapacidad temporal.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la incapacidad temporal se produjera después de pactada la fecha de inicio para el disfrute individual de las vacaciones y antes de llegar dicha fecha, el trabajador mantendrá el derecho a disfrutar las vacaciones aunque haya terminado el año natural, acordándose un nuevo período de disfrute después de producido el alta de la incapacidad temporal.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párrafo anterior no será de aplicación en los supuestos de vacaciones colectivas de todo un centro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El disfrute de las vacaciones, como norma general y salvo pacto en contrario, tendrá carácter ininterrumpido.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La retribución de vacaciones consistirá en la cantidad fija establecida en las tablas salariales de los respectivos convenios colectivos provinciales o de comunidad autónoma.</w:t>
      </w:r>
    </w:p>
    <w:p>
      <w:pPr>
        <w:pStyle w:val="style0"/>
        <w:shd w:fill="FFFFFF" w:val="clear"/>
        <w:spacing w:after="28" w:before="28" w:line="300" w:lineRule="atLeast"/>
        <w:jc w:val="both"/>
      </w:pPr>
      <w:bookmarkStart w:id="173" w:name="LOC_ART.74"/>
      <w:bookmarkStart w:id="174" w:name="SE90"/>
      <w:bookmarkEnd w:id="173"/>
      <w:bookmarkEnd w:id="174"/>
      <w:r>
        <w:rPr>
          <w:rFonts w:ascii="Verdana" w:cs="Times New Roman" w:eastAsia="Times New Roman" w:hAnsi="Verdana"/>
          <w:b/>
          <w:bCs/>
          <w:caps/>
          <w:color w:val="0087AD"/>
          <w:sz w:val="17"/>
          <w:lang w:eastAsia="es-ES"/>
        </w:rPr>
        <w:t>ARTÍCULO 74.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Permisos y licencias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trabajador, previo aviso de al menos cuarenta y ocho horas, salvo acreditada urgencia, y justificación posterior, se encuentra facultado para ausentarse del trabajo, manteniendo el derecho a la percepción de todos aquellos conceptos retributivos, que no se encuentren vinculados de forma expresa a la prestación efectiva de la actividad laboral, por alguno de los motivos y por el tiempo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Quince días naturales, en caso de matrimonio.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Dos días naturales –de los cuales al menos uno deberá ser laborable–, por nacimiento o adopción de un hijo. En el caso de trabajadores no comunitarios o comunitarios de países no colindantes con España el permiso será, siempre que acrediten efectivamente la realización del desplazamiento a su país de origen, de cinco días naturales, pudiéndose ampliar hasta ocho días con el consentimiento de la empresa, pero siendo exclusivamente retribuidos los cinco días antes señalados.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Un día, por matrimonio de hijo.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Tres días naturales, por fallecimiento del cónyuge y parientes hasta el segundo grado de consanguinidad o afinidad. En el caso de trabajadores no comunitarios o comunitarios de países no colindantes con España el permiso será, siempre que acrediten efectivamente la realización del desplazamiento a su país de origen, de seis días naturales, pudiéndose ampliar hasta ocho días con el consentimiento de la empresa, pero siendo exclusivamente retribuidos los seis días antes señalados.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Dos días naturales, por enfermedad o accidente grave, hospitalización o intervención quirúrgica sin hospitalización que precise reposo domiciliario del cónyuge y parientes hasta el segundo grado de consanguinidad o afinidad.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Un día, por traslado del domicilio habitual.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Por el tiempo necesario, para concurrir a exámenes, como consecuencia de los estudios que esté realizando en centros de enseñanza, universitarios o de formación profesional de carácter público o privado, reconocidos.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por los motivos expresados en los apartados b), c), d) y e), el trabajador necesite efectuar un desplazamiento al efecto, los plazos señalados en los mismos se incrementarán en dos días naturales, salvo los trabajadores no comunitarios o comunitarios no colindantes con España que se acojan a lo dispuesto en los últimos incisos de los apartados b) y 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supuestos contemplados en los apartados precedentes –cuando concurran las circunstancias previstas en los mismos– se extenderán asimismo a las parejas de hecho siempre que consten inscritas en el registro correspondiente.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las mismas condiciones que las previstas en el apartado 1 del presente artículo, el trabajador podrá ausentarse del trabajo por el tiempo necesario para el cumplimiento de un deber inexcusable de carácter público y personal, comprendido el ejercicio de sufragio activo. Cuando conste en una norma legal un período determinado de ausencia, se estará a lo que ésta disponga en cuanto a su duración y compensación económica.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el supuesto de que, por el cumplimiento del deber o desempeño del cargo público, el trabajador perciba una compensación económica, cualquiera que sea su denominación, se descontará el importe de la misma de la retribución a que tuviera derecho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el cumplimiento del deber antes referido, suponga la imposibilidad de prestación de trabajo en más del 25 por 100 de las horas laborables en un período de tres meses, la empresa se encuentra facultada para decidir el paso del trabajador afectado a la situación de excedencia forzosa, con todos los efectos inherentes a la misma.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Las trabajadoras, por lactancia de un hijo menor de nueve meses, tendrán derecho, sin pérdida alguna de retribución, a una hora diaria de ausencia del trabajo, que podrán dividir en dos fracciones. La duración del permiso se incrementará proporcionalmente en los casos de parto múltiple. La mujer, por su voluntad, e igualmente sin pérdida de retribución, podrá sustituir este derecho por una reducción de su jornada laboral en media hora diaria con la misma finalidad o acumularlo en jornadas completas, conforme al acuerdo a que llegue con la empresa. Este permiso podrá ser disfrutado por el padre en caso de que ambos trabajen, siempre que quede acreditado mediante certificación de la empresa en que trabaje la madre que ésta no ha ejercitado en la misma este derecho.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El trabajador que, por razones de guarda legal, tenga a su cuidado directo a algún menor de ocho años o a una persona con discapacidad física, psíquica o sensorial que no desempeñe actividad retribuida, tendrá derecho a una reducción de la jornada de trabajo, con la disminución proporcional del salario, entre al menos un octavo y un máximo de la mitad de la duración de aquélla.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Tendrá el mismo derecho quien precise encargarse del cuidado directo de un familiar, hasta el segundo grado de consanguinidad o afinidad, que por razones de edad, accidente o enfermedad no pueda valerse por sí mismo, y que no desempeñe actividad retribuida.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reducción de jornada contemplada en el presente apartado constituye un derecho individual de los trabajadores, mujeres y hombres. No obstante, si dos o más trabajadores de la misma empresa generasen este derecho por el mismo sujeto causante, el empresario podrá limitar su ejercicio simultáneo por razones justificadas de funcionamiento de la empresa.</w:t>
      </w:r>
    </w:p>
    <w:p>
      <w:pPr>
        <w:pStyle w:val="style0"/>
        <w:shd w:fill="FFFFFF" w:val="clear"/>
        <w:spacing w:after="28" w:before="28" w:line="300" w:lineRule="atLeast"/>
        <w:jc w:val="both"/>
      </w:pPr>
      <w:bookmarkStart w:id="175" w:name="LOC_CAP.9"/>
      <w:bookmarkStart w:id="176" w:name="SE91"/>
      <w:bookmarkEnd w:id="175"/>
      <w:bookmarkEnd w:id="176"/>
      <w:r>
        <w:rPr>
          <w:rFonts w:ascii="Verdana" w:cs="Times New Roman" w:eastAsia="Times New Roman" w:hAnsi="Verdana"/>
          <w:b/>
          <w:bCs/>
          <w:color w:val="0087AD"/>
          <w:sz w:val="21"/>
          <w:lang w:eastAsia="es-ES"/>
        </w:rPr>
        <w:t>CAPÍTULO IX.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MOVILIDAD FUNCIONAL</w:t>
      </w:r>
    </w:p>
    <w:p>
      <w:pPr>
        <w:pStyle w:val="style0"/>
        <w:shd w:fill="FFFFFF" w:val="clear"/>
        <w:spacing w:after="28" w:before="28" w:line="300" w:lineRule="atLeast"/>
        <w:jc w:val="both"/>
      </w:pPr>
      <w:bookmarkStart w:id="177" w:name="LOC_ART.75"/>
      <w:bookmarkStart w:id="178" w:name="SE92"/>
      <w:bookmarkEnd w:id="177"/>
      <w:bookmarkEnd w:id="178"/>
      <w:r>
        <w:rPr>
          <w:rFonts w:ascii="Verdana" w:cs="Times New Roman" w:eastAsia="Times New Roman" w:hAnsi="Verdana"/>
          <w:b/>
          <w:bCs/>
          <w:caps/>
          <w:color w:val="0087AD"/>
          <w:sz w:val="17"/>
          <w:lang w:eastAsia="es-ES"/>
        </w:rPr>
        <w:t>ARTÍCULO 75.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Cambio de puesto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Sin perjuicio de lo dispuesto en el art. 22, se entiende por movilidad funcional la que se deriva de la facultad que tiene el empresario para decidir el cambio de puesto de trabajo de sus trabajadores cuando lo estime necesario para la buena marcha de la organización, siempre que se efectúe sin perjuicio de los derechos económicos y profesionales que correspondan a éstos, y se respeten las limitaciones exigidas por las titulaciones académicas o profesionales que se requieran para ejercer la prestación laboral de que se trate y la pertenencia al grupo profesional correspondiente.</w:t>
      </w:r>
    </w:p>
    <w:p>
      <w:pPr>
        <w:pStyle w:val="style0"/>
        <w:shd w:fill="FFFFFF" w:val="clear"/>
        <w:spacing w:after="28" w:before="28" w:line="300" w:lineRule="atLeast"/>
        <w:jc w:val="both"/>
      </w:pPr>
      <w:bookmarkStart w:id="179" w:name="LOC_ART.76"/>
      <w:bookmarkStart w:id="180" w:name="SE93"/>
      <w:bookmarkEnd w:id="179"/>
      <w:bookmarkEnd w:id="180"/>
      <w:r>
        <w:rPr>
          <w:rFonts w:ascii="Verdana" w:cs="Times New Roman" w:eastAsia="Times New Roman" w:hAnsi="Verdana"/>
          <w:b/>
          <w:bCs/>
          <w:caps/>
          <w:color w:val="0087AD"/>
          <w:sz w:val="17"/>
          <w:lang w:eastAsia="es-ES"/>
        </w:rPr>
        <w:t>ARTÍCULO 76.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de superior categoría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Por necesidades organizativas, de producción o de contratación, el trabajador podrá ser destinado a ocupar un puesto de superior categoría a la que tuviera reconocida, por plazo que no exceda de seis meses durante un año, u ocho durante dos años, teniendo derecho a percibir, mientras se encuentre en tal situación, la remuneración correspondiente a la función efectivamente desempeñada.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Transcurrido dicho período, el trabajador podrá reclamar de la empresa la clasificación profesional adecuada, y, si ésta no resolviese favorablemente al respecto, en el plazo de quince días hábiles, y previo informe, en su caso, de los representantes legales de los trabajadores, podrá reclamarla ante la jurisdicción competente, y surtirá efectos, si es estimada la reclamación y una vez firme la resolución correspondiente, a partir del día en que el interesado solicitó, por escrito, su adecuada clasificación.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se realicen funciones de categoría superior, pero no proceda el ascenso por no reunir el interesado los requisitos precisos al respecto, el trabajador tendrá derecho a percibir la diferencia retributiva existente entre la categoría asignada y la de la función efectivamente realizada.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Se exceptúan de lo anteriormente dispuesto, los trabajos de categoría superior que el trabajador realice, de común acuerdo con la empresa, con el fin de prepararse para el ascenso.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Lo dispuesto en este artículo no será aplicable, salvo en lo que se refiere a la retribución, en los supuestos de incapacidad temporal, maternidad, permisos y excedencias, en los que la sustitución comprenderá todo el tiempo que duren las circunstancias que lo hayan motivado.</w:t>
      </w:r>
    </w:p>
    <w:p>
      <w:pPr>
        <w:pStyle w:val="style0"/>
        <w:shd w:fill="FFFFFF" w:val="clear"/>
        <w:spacing w:after="28" w:before="28" w:line="300" w:lineRule="atLeast"/>
        <w:jc w:val="both"/>
      </w:pPr>
      <w:bookmarkStart w:id="181" w:name="LOC_ART.77"/>
      <w:bookmarkStart w:id="182" w:name="SE94"/>
      <w:bookmarkEnd w:id="181"/>
      <w:bookmarkEnd w:id="182"/>
      <w:r>
        <w:rPr>
          <w:rFonts w:ascii="Verdana" w:cs="Times New Roman" w:eastAsia="Times New Roman" w:hAnsi="Verdana"/>
          <w:b/>
          <w:bCs/>
          <w:caps/>
          <w:color w:val="0087AD"/>
          <w:sz w:val="17"/>
          <w:lang w:eastAsia="es-ES"/>
        </w:rPr>
        <w:t>ARTÍCULO 77.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de inferior categoría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empresa por necesidades perentorias, transitorias o imprevisibles, podrá destinar a un trabajador a realizar tareas correspondientes a una categoría profesional inferior a la suya por el tiempo imprescindible, y comunicándolo, a los representantes legales de los trabajadores, si los hubiere, no pudiendo el interesado negarse a efectuar el trabajo encomendado, siempre que ello no perjudique su formación profesional. En esta situación, el trabajador seguirá percibiendo la remuneración que, por su categoría y función anterior, le corresponda.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 un trabajador no se le podrá imponer la realización de trabajos propios de categoría inferior durante más de tres meses al año, mientras todos los trabajadores de la misma categoría no hayan rotado en la realización de dichas tareas.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No se considerarán, a efectos del cómputo, los supuestos de avería o fuerza mayor.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 el destino de inferior categoría profesional hubiera sido solicitado por el propio trabajador, se le asignará a éste la retribución que le corresponda por la función efectivamente desempeñada, pero no se le podrá exigir que realice trabajos de categoría superior a aquella por la que se le retribuye.</w:t>
      </w:r>
    </w:p>
    <w:p>
      <w:pPr>
        <w:pStyle w:val="style0"/>
        <w:shd w:fill="FFFFFF" w:val="clear"/>
        <w:spacing w:after="28" w:before="28" w:line="300" w:lineRule="atLeast"/>
        <w:jc w:val="both"/>
      </w:pPr>
      <w:bookmarkStart w:id="183" w:name="LOC_ART.78"/>
      <w:bookmarkStart w:id="184" w:name="SE95"/>
      <w:bookmarkEnd w:id="183"/>
      <w:bookmarkEnd w:id="184"/>
      <w:r>
        <w:rPr>
          <w:rFonts w:ascii="Verdana" w:cs="Times New Roman" w:eastAsia="Times New Roman" w:hAnsi="Verdana"/>
          <w:b/>
          <w:bCs/>
          <w:caps/>
          <w:color w:val="0087AD"/>
          <w:sz w:val="17"/>
          <w:lang w:eastAsia="es-ES"/>
        </w:rPr>
        <w:t>ARTÍCULO 78.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Personal de capacidad disminuida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personal que, por edad u otra circunstancia, haya experimentado una disminución en su capacidad para realizar las funciones que le competen, podrá ser destinado por la empresa a trabajos adecuados a sus condiciones actuales, siempre que existan posibilidades para ello, asignándosele la clasificación profesional que proceda de acuerdo con sus nuevos cometidos, así como la remuneración correspondiente a su nueva categoría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Cuando en la empresa existan puestos disponibles para ser ocupados por trabajadores con capacidad disminuida, tendrán preferencia para desempeñarlos, a igualdad de condiciones, y en su caso, los trabajadores de la propia empresa en los términos expresados en el apartado anterior.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trabajador que no esté conforme con su paso a la situación de capacidad disminuida o con la nueva categoría que se le asigne, podrá interponer la oportuna reclamación ante la jurisdicción competente.</w:t>
      </w:r>
    </w:p>
    <w:p>
      <w:pPr>
        <w:pStyle w:val="style0"/>
        <w:shd w:fill="FFFFFF" w:val="clear"/>
        <w:spacing w:after="28" w:before="28" w:line="300" w:lineRule="atLeast"/>
        <w:jc w:val="both"/>
      </w:pPr>
      <w:bookmarkStart w:id="185" w:name="LOC_ART.79"/>
      <w:bookmarkStart w:id="186" w:name="SE96"/>
      <w:bookmarkEnd w:id="185"/>
      <w:bookmarkEnd w:id="186"/>
      <w:r>
        <w:rPr>
          <w:rFonts w:ascii="Verdana" w:cs="Times New Roman" w:eastAsia="Times New Roman" w:hAnsi="Verdana"/>
          <w:b/>
          <w:bCs/>
          <w:caps/>
          <w:color w:val="0087AD"/>
          <w:sz w:val="17"/>
          <w:lang w:eastAsia="es-ES"/>
        </w:rPr>
        <w:t>ARTÍCULO 79.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susceptibles de originar un perjuicio para la salud sin merma de la capacidad laboral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Cuando un trabajador, sin merma de su capacidad laboral, pudiera resultar, previsiblemente y con cierto fundamento, perjudicado en su salud, con motivo u ocasión del trabajo que habitualmente realiza, a criterio del médico de empresa o facultativo designado por ésta a tal efecto, podrá ser destinado por la empresa a un nuevo puesto de trabajo, si lo hubiese, en el que no exista tal riesgo o peligro y adecuado a su nivel de conocimientos y experiencia, asignándosele la clasificación profesional correspondiente a sus nuevas funciones, así como la remuneración que corresponda a éstas.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Si el trabajador no estuviese conforme con el cambio de puesto, podrá interponer la oportuna reclamación ante la jurisdicción competente.</w:t>
      </w:r>
    </w:p>
    <w:p>
      <w:pPr>
        <w:pStyle w:val="style0"/>
        <w:shd w:fill="FFFFFF" w:val="clear"/>
        <w:spacing w:after="28" w:before="28" w:line="300" w:lineRule="atLeast"/>
        <w:jc w:val="both"/>
      </w:pPr>
      <w:bookmarkStart w:id="187" w:name="LOC_CAP.10"/>
      <w:bookmarkStart w:id="188" w:name="SE97"/>
      <w:bookmarkEnd w:id="187"/>
      <w:bookmarkEnd w:id="188"/>
      <w:r>
        <w:rPr>
          <w:rFonts w:ascii="Verdana" w:cs="Times New Roman" w:eastAsia="Times New Roman" w:hAnsi="Verdana"/>
          <w:b/>
          <w:bCs/>
          <w:color w:val="0087AD"/>
          <w:sz w:val="21"/>
          <w:lang w:eastAsia="es-ES"/>
        </w:rPr>
        <w:t>CAPÍTULO X.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MOVILIDAD GEOGRÁFICA</w:t>
      </w:r>
    </w:p>
    <w:p>
      <w:pPr>
        <w:pStyle w:val="style0"/>
        <w:shd w:fill="FFFFFF" w:val="clear"/>
        <w:spacing w:after="28" w:before="28" w:line="300" w:lineRule="atLeast"/>
        <w:jc w:val="both"/>
      </w:pPr>
      <w:bookmarkStart w:id="189" w:name="LOC_ART.80"/>
      <w:bookmarkStart w:id="190" w:name="SE98"/>
      <w:bookmarkEnd w:id="189"/>
      <w:bookmarkEnd w:id="190"/>
      <w:r>
        <w:rPr>
          <w:rFonts w:ascii="Verdana" w:cs="Times New Roman" w:eastAsia="Times New Roman" w:hAnsi="Verdana"/>
          <w:b/>
          <w:bCs/>
          <w:caps/>
          <w:color w:val="0087AD"/>
          <w:sz w:val="17"/>
          <w:lang w:eastAsia="es-ES"/>
        </w:rPr>
        <w:t>ARTÍCULO 80.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Conceptos generales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empresas podrán desplazar a su personal a otros centros de trabajo distintos de aquel en que presten sus servicios durante cualquier plazo de tiempo, fundamentando dicho desplazamiento en razones económicas, técnicas, organizativas, de producción o de contratación.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Esta facultad deriva, por una parte, del carácter móvil del trabajo en las empresas del sector, como consecuencia de la inevitable temporalidad de la realización de su actividad, y a tenor de la excepción prevista en el art. 40.1 del E.T. y, por otra, de la competencia atribuida al empresario en materia de ordenación del trabajo en el art. 29 de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Cuando el desplazamiento se produzca a un centro de trabajo situado en distinto término municipal y que, además, diste 15 kilómetros o más del centro de trabajo de partida y de la residencia habitual del trabajador, dará lugar a los siguientes conceptos compensatorios: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Si el desplazamiento es de duración que no exceda de un año, se devengarán dietas, si no puede pernoctar en su residencia habitual, y medias dietas, si puede pernoctar en ella.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Si el desplazamiento es de duración superior a un año, e implica cambio de residencia, se devengará una indemnización compensatoria en la cuantía y condiciones establecidas en el apartado siguiente. Además, se devengarán los gastos de viaje del trabajador y su familia, los gastos de traslado de muebles y enseres y cinco días de dieta por cada persona que viaje de las que compongan la familia y convivan con el desplazado.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 indemnización compensatoria, establecida en el apartado anterior para el supuesto de desplazamiento superior a un año que implique cambio de residencia, se aplicará conforme a las siguientes reglas: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Será equivalente al 35 por 100 de las percepciones anuales brutas del trabajador en jornada ordinaria y de carácter salarial en el momento de realizarse el cambio de centro; el 20 por 100 de las mismas al comenzar el segundo año; el 10 por 100 al comenzar el tercer año y el 10 por 100 al comenzar el cuarto año, siempre sobre la base inicial.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caso de que se produzca un nuevo desplazamiento de duración superior a un año, con cambio de residencia, antes de transcurridos cuatro años desde el anterior, se dará por finalizada la secuencia indemnizatoria iniciándose una nueva, tomando como base la retribución que se viniera percibiendo en ese momento.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la indemnización percibida por el primer desplazamiento no se deducirá cantidad alguna de la anualidad en curso al fijar la nueva secuencia indemnizatoria.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En el supuesto de que se extinguiera el contrato de trabajo antes de transcurridos cuatro años desde un desplazamiento de duración superior a un año, con cambio de residencia, solamente se devengará la parte proporcional de la indemnización compensatoria correspondiente a la anualidad en que se produzca la extinción.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los desplazamientos voluntarios mediante petición escrita del trabajador, no procederán las compensaciones y derechos regulados en este capítulo.</w:t>
      </w:r>
    </w:p>
    <w:p>
      <w:pPr>
        <w:pStyle w:val="style0"/>
        <w:shd w:fill="FFFFFF" w:val="clear"/>
        <w:spacing w:after="28" w:before="28" w:line="300" w:lineRule="atLeast"/>
        <w:jc w:val="both"/>
      </w:pPr>
      <w:bookmarkStart w:id="191" w:name="LOC_ART.81"/>
      <w:bookmarkStart w:id="192" w:name="SE99"/>
      <w:bookmarkEnd w:id="191"/>
      <w:bookmarkEnd w:id="192"/>
      <w:r>
        <w:rPr>
          <w:rFonts w:ascii="Verdana" w:cs="Times New Roman" w:eastAsia="Times New Roman" w:hAnsi="Verdana"/>
          <w:b/>
          <w:bCs/>
          <w:caps/>
          <w:color w:val="0087AD"/>
          <w:sz w:val="17"/>
          <w:lang w:eastAsia="es-ES"/>
        </w:rPr>
        <w:t>ARTÍCULO 81.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Preaviso, ejecutividad e impugnación de la orden de desplazamiento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Si el desplazamiento es de duración que no exceda de un año, el empresario deberá preavisar por escrito al trabajador con una antelación mínima de tres días, o cinco si el desplazamiento es superior a tres meses, haciendo constar las condiciones y duración prevista.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Si el desplazamiento es de duración superior a un año, el preaviso será de treinta días para la incorporación inicial del trabajador al nuevo puesto, sin perjuicio de que realice a su conveniencia el traslado de familia, muebles y enseres, a cuyos efectos el empresario facilitará y costeará los viajes necesarios a su localidad de origen. El desplazamiento deberá ser comunicado simultáneamente a los representantes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No se requerirá preaviso cuando el trabajador pueda pernoctar en su residencia habitual, ni en los casos de urgente necesidad.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todos los casos, la orden de desplazamiento es ejecutiva para el trabajador, sin perjuicio de la posible impugnación judicial.</w:t>
      </w:r>
    </w:p>
    <w:p>
      <w:pPr>
        <w:pStyle w:val="style0"/>
        <w:shd w:fill="FFFFFF" w:val="clear"/>
        <w:spacing w:after="28" w:before="28" w:line="300" w:lineRule="atLeast"/>
        <w:jc w:val="both"/>
      </w:pPr>
      <w:bookmarkStart w:id="193" w:name="LOC_ART.82"/>
      <w:bookmarkStart w:id="194" w:name="SE100"/>
      <w:bookmarkEnd w:id="193"/>
      <w:bookmarkEnd w:id="194"/>
      <w:r>
        <w:rPr>
          <w:rFonts w:ascii="Verdana" w:cs="Times New Roman" w:eastAsia="Times New Roman" w:hAnsi="Verdana"/>
          <w:b/>
          <w:bCs/>
          <w:caps/>
          <w:color w:val="0087AD"/>
          <w:sz w:val="17"/>
          <w:lang w:eastAsia="es-ES"/>
        </w:rPr>
        <w:t>ARTÍCULO 82.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Descanso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Por cada tres meses de desplazamiento continuado de duración que no exceda de un año, sin posibilidad de pernoctar en el lugar de residencia habitual, el trabajador tendrá derecho a un mínimo de cuatro días laborables retribuidos en dicho lugar, sin computar como tales los de viaje, cuyos billetes o su importe, serán de cuenta del empresario.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Tales días de descanso deberán hacerse efectivos dentro del término de los quince días naturales inmediatamente posteriores a la fecha de vencimiento de cada período de tres meses de desplazamiento.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Por acuerdo individual, podrá pactarse la acumulación de estos días, añadiéndose, incluso, al período de vacaciones.</w:t>
      </w:r>
    </w:p>
    <w:p>
      <w:pPr>
        <w:pStyle w:val="style0"/>
        <w:shd w:fill="FFFFFF" w:val="clear"/>
        <w:spacing w:after="28" w:before="28" w:line="300" w:lineRule="atLeast"/>
        <w:jc w:val="both"/>
      </w:pPr>
      <w:bookmarkStart w:id="195" w:name="LOC_ART.83"/>
      <w:bookmarkStart w:id="196" w:name="SE101"/>
      <w:bookmarkEnd w:id="195"/>
      <w:bookmarkEnd w:id="196"/>
      <w:r>
        <w:rPr>
          <w:rFonts w:ascii="Verdana" w:cs="Times New Roman" w:eastAsia="Times New Roman" w:hAnsi="Verdana"/>
          <w:b/>
          <w:bCs/>
          <w:caps/>
          <w:color w:val="0087AD"/>
          <w:sz w:val="17"/>
          <w:lang w:eastAsia="es-ES"/>
        </w:rPr>
        <w:t>ARTÍCULO 83.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Dietas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dieta es un concepto extrasalarial, de naturaleza indemnizatoria o compensatoria, y de carácter irregular, que tiene como finalidad el resarcimiento o compensación de los gastos de manutención y alojamiento del trabajador, ocasionados como consecuencia de la situación de desplazamiento.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trabajador percibirá dieta completa cuando, como consecuencia del desplazamiento, no pueda pernoctar en su residencia habitual. Se devengará siempre por día natural.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el empresario organice y coste la manutención y alojamiento del personal desplazado, siempre que reúna las condiciones exigibles y suficientes, solamente satisfará el 20 por 100 de la dieta completa.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Se devengará media dieta cuando, como consecuencia del desplazamiento, el trabajador afectado tenga necesidad de realizar la comida fuera de su residencia habitual, no le fuera suministrada por la empresa y pueda pernoctar en la citada residencia. La media dieta se devengará por día efectivo trabajado.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Las dietas o medias dietas se percibirán siempre con independencia de la retribución del trabajador y en las mismas fechas que ésta; pero en los desplazamientos de más de una semana de duración, aquél podrá solicitar anticipos quincenales a cuenta, y a justificar, sobre las mencionadas dietas.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El importe de la dieta completa y de la media dieta será fijado en el marco de los convenios colectivos de ámbito inferior.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La dieta completa no se devengará en los casos de suspensión legal del contrato de trabajo, salvo en los casos de incapacidad temporal en los que la empresa mantenga el desplazamiento.</w:t>
      </w:r>
    </w:p>
    <w:p>
      <w:pPr>
        <w:pStyle w:val="style0"/>
        <w:shd w:fill="FFFFFF" w:val="clear"/>
        <w:spacing w:after="28" w:before="28" w:line="300" w:lineRule="atLeast"/>
        <w:jc w:val="both"/>
      </w:pPr>
      <w:bookmarkStart w:id="197" w:name="LOC_ART.84"/>
      <w:bookmarkStart w:id="198" w:name="SE102"/>
      <w:bookmarkEnd w:id="197"/>
      <w:bookmarkEnd w:id="198"/>
      <w:r>
        <w:rPr>
          <w:rFonts w:ascii="Verdana" w:cs="Times New Roman" w:eastAsia="Times New Roman" w:hAnsi="Verdana"/>
          <w:b/>
          <w:bCs/>
          <w:caps/>
          <w:color w:val="0087AD"/>
          <w:sz w:val="17"/>
          <w:lang w:eastAsia="es-ES"/>
        </w:rPr>
        <w:t>ARTÍCULO 84.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Locomoción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Serán de cuenta de la empresa los gastos de locomoción que se originen como consecuencia de la situación de desplazamiento, ya sea poniendo medios propios a disposición del trabajador, ya abonándole la compensación correspondiente.</w:t>
      </w:r>
    </w:p>
    <w:p>
      <w:pPr>
        <w:pStyle w:val="style0"/>
        <w:shd w:fill="FFFFFF" w:val="clear"/>
        <w:spacing w:after="28" w:before="28" w:line="300" w:lineRule="atLeast"/>
        <w:jc w:val="both"/>
      </w:pPr>
      <w:bookmarkStart w:id="199" w:name="LOC_ART.85"/>
      <w:bookmarkStart w:id="200" w:name="SE103"/>
      <w:bookmarkEnd w:id="199"/>
      <w:bookmarkEnd w:id="200"/>
      <w:r>
        <w:rPr>
          <w:rFonts w:ascii="Verdana" w:cs="Times New Roman" w:eastAsia="Times New Roman" w:hAnsi="Verdana"/>
          <w:b/>
          <w:bCs/>
          <w:caps/>
          <w:color w:val="0087AD"/>
          <w:sz w:val="17"/>
          <w:lang w:eastAsia="es-ES"/>
        </w:rPr>
        <w:t>ARTÍCULO 85.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Prioridad de permanencia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Tienen prioridad para ser los últimos en ser afectados por cualquier desplazamiento a población distinta del lugar de su residencia habitual, los representantes legales de los trabajadores, dentro de su categoría y especialidad profesional u oficio.</w:t>
      </w:r>
    </w:p>
    <w:p>
      <w:pPr>
        <w:pStyle w:val="style0"/>
        <w:shd w:fill="FFFFFF" w:val="clear"/>
        <w:spacing w:after="28" w:before="28" w:line="300" w:lineRule="atLeast"/>
        <w:jc w:val="both"/>
      </w:pPr>
      <w:bookmarkStart w:id="201" w:name="LOC_ART.86"/>
      <w:bookmarkStart w:id="202" w:name="SE104"/>
      <w:bookmarkEnd w:id="201"/>
      <w:bookmarkEnd w:id="202"/>
      <w:r>
        <w:rPr>
          <w:rFonts w:ascii="Verdana" w:cs="Times New Roman" w:eastAsia="Times New Roman" w:hAnsi="Verdana"/>
          <w:b/>
          <w:bCs/>
          <w:caps/>
          <w:color w:val="0087AD"/>
          <w:sz w:val="17"/>
          <w:lang w:eastAsia="es-ES"/>
        </w:rPr>
        <w:t>ARTÍCULO 86.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de trabajo en el centro de llegada o destino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personal desplazado quedará vinculado a la jornada, horario de trabajo y calendario vigente en la obra o centro de trabajo de llegada. No obstante, en el supuesto de que la jornada de trabajo correspondiente al centro de origen, fuese inferior a la del de llegada, se abonará el exceso como horas extraordinarias, que no computarán para el límite del número de dichas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dieta o media dieta, en su caso, a percibir por el personal desplazado, será la que corresponda de acuerdo con el convenio colectivo provincial del lugar de llegada.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trabajador desplazado deberá facilitar, en cuanto de él dependa, cuantos trámites fuesen precisos en orden a la regularización de su nueva situación.</w:t>
      </w:r>
    </w:p>
    <w:p>
      <w:pPr>
        <w:pStyle w:val="style0"/>
        <w:shd w:fill="FFFFFF" w:val="clear"/>
        <w:spacing w:after="28" w:before="28" w:line="300" w:lineRule="atLeast"/>
        <w:jc w:val="both"/>
      </w:pPr>
      <w:bookmarkStart w:id="203" w:name="LOC_ART.87"/>
      <w:bookmarkStart w:id="204" w:name="SE105"/>
      <w:bookmarkEnd w:id="203"/>
      <w:bookmarkEnd w:id="204"/>
      <w:r>
        <w:rPr>
          <w:rFonts w:ascii="Verdana" w:cs="Times New Roman" w:eastAsia="Times New Roman" w:hAnsi="Verdana"/>
          <w:b/>
          <w:bCs/>
          <w:caps/>
          <w:color w:val="0087AD"/>
          <w:sz w:val="17"/>
          <w:lang w:eastAsia="es-ES"/>
        </w:rPr>
        <w:t>ARTÍCULO 87.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Obras de larga extensión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Son aquellas en las que el lugar de prestación de trabajo resulta variable a lo largo de un determinado territorio o zona, bien sea mediante tajos continuos o discontinuos, pudiendo abarcar varios términos municipales o incluso provincias, pero de tal modo que, a efectos técnicos y de organización empresarial, formen parte de una única unidad estructural.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prestación de actividad laboral a lo largo de cualesquiera de los tajos o centros de trabajo integrantes de esta modalidad de obras, no constituye desplazamiento en sentido técnico, por lo que tales supuestos están excluidos del régimen jurídico previsto en el presente capítulo, si bien el tiempo invertido en esta movilidad dentro de la obra se computará como trabajado.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No obstante lo establecido en el apartado anterior, si como consecuencia de la prestación de servicios en estas obras, el trabajador no pudiera pernoctar en el lugar de su residencia habitual, devengará el derecho a la percepción de dieta completa, así como a ser resarcido por la empresa de los gastos de viaje de ida y vuelta al lugar específico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Cuando las citadas obras discurran por ámbitos territoriales correspondientes a varias provincias, será de aplicación, en su caso, la dieta del convenio colectivo del lugar de prestación efectiva de la actividad del trabajador. En el caso de que un determinado tajo o centro de trabajo se encuentre en el límite geográfico entre dos provincias, será de aplicación la del convenio colectivo correspondiente al lugar donde se preste la actividad laboral durante un mayor período de tiempo.</w:t>
      </w:r>
    </w:p>
    <w:p>
      <w:pPr>
        <w:pStyle w:val="style0"/>
        <w:shd w:fill="FFFFFF" w:val="clear"/>
        <w:spacing w:after="28" w:before="28" w:line="300" w:lineRule="atLeast"/>
        <w:jc w:val="both"/>
      </w:pPr>
      <w:bookmarkStart w:id="205" w:name="LOC_ART.88"/>
      <w:bookmarkStart w:id="206" w:name="SE106"/>
      <w:bookmarkEnd w:id="205"/>
      <w:bookmarkEnd w:id="206"/>
      <w:r>
        <w:rPr>
          <w:rFonts w:ascii="Verdana" w:cs="Times New Roman" w:eastAsia="Times New Roman" w:hAnsi="Verdana"/>
          <w:b/>
          <w:bCs/>
          <w:caps/>
          <w:color w:val="0087AD"/>
          <w:sz w:val="17"/>
          <w:lang w:eastAsia="es-ES"/>
        </w:rPr>
        <w:t>ARTÍCULO 88.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Traslado de centro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traslado total o parcial de las instalaciones que no exija cambio de residencia habitual a los trabajadores afectados, será facultad del empresario, previo informe, en su caso, de los representantes legales de los trabajadores, que deberán emitirlo en el plazo de quince días, a partir de aquél en que se les haya notificado la decisión correspondiente.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Si dicho traslado supusiera cambio de residencia habitual, a falta de aceptación, en su caso, por parte de los representantes legales de los trabajadores, habrá que estar, para poder llevarlo a efecto, a las restantes disposiciones establecidas, al respecto, en el art. 40.2 del E.T., y en cuanto a sus condiciones, a lo previsto a tales efectos en este Convenio General del Sector.</w:t>
      </w:r>
    </w:p>
    <w:p>
      <w:pPr>
        <w:pStyle w:val="style0"/>
        <w:shd w:fill="FFFFFF" w:val="clear"/>
        <w:spacing w:after="28" w:before="28" w:line="300" w:lineRule="atLeast"/>
        <w:jc w:val="both"/>
      </w:pPr>
      <w:bookmarkStart w:id="207" w:name="LOC_ART.89"/>
      <w:bookmarkStart w:id="208" w:name="SE107"/>
      <w:bookmarkEnd w:id="207"/>
      <w:bookmarkEnd w:id="208"/>
      <w:r>
        <w:rPr>
          <w:rFonts w:ascii="Verdana" w:cs="Times New Roman" w:eastAsia="Times New Roman" w:hAnsi="Verdana"/>
          <w:b/>
          <w:bCs/>
          <w:caps/>
          <w:color w:val="0087AD"/>
          <w:sz w:val="17"/>
          <w:lang w:eastAsia="es-ES"/>
        </w:rPr>
        <w:t>ARTÍCULO 89.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Residencia habitual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entenderá por residencia habitual del trabajador la que haya señalado éste, lo que es preceptivo, al ingresar en la empresa, debiendo comunicar a ésta los cambios que se produzcan al respecto durante la vigencia del correspondiente contrato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cambios de residencia habitual del trabajador que se produzcan durante el transcurso de la relación laboral, y que no se hayan comunicado por éste a su empresa, no producirán ningún efecto en relación con las disposiciones de este Convenio General y demás normativa que sea de 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cambios de residencia habitual del trabajador, que no vengan obligados por decisiones de su empresa, no darán lugar, por sí solos, a derecho o compensación alguna a su favor, aunque, como es preceptivo, le deban ser comunicados a ésta.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A los efectos del presente capítulo, se entenderá que un desplazamiento implica cambio de residencia habitual, cuando razonablemente imposibilite o haga especialmente gravoso u oneroso al trabajador el desplazamiento diario al centro de destino desde dicha residencia, atendidas las circunstancias de distancia y tiempo invertido en recorrerla.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ningún caso se entenderá que un desplazamiento implica cambio de residencia, cuando, con respecto al centro de trabajo de destino, se produzca alguna de las siguientes circunstancias: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Que esté ubicado en el mismo término municipal que el de procedencia.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Que se encuentre más próximo de la residencia habitual del trabajador que el centro de procedencia.</w:t>
      </w:r>
    </w:p>
    <w:p>
      <w:pPr>
        <w:pStyle w:val="style0"/>
        <w:shd w:fill="FFFFFF" w:val="clear"/>
        <w:spacing w:after="28" w:before="28" w:line="300" w:lineRule="atLeast"/>
        <w:jc w:val="both"/>
      </w:pPr>
      <w:bookmarkStart w:id="209" w:name="LOC_CAP.11"/>
      <w:bookmarkStart w:id="210" w:name="SE108"/>
      <w:bookmarkEnd w:id="209"/>
      <w:bookmarkEnd w:id="210"/>
      <w:r>
        <w:rPr>
          <w:rFonts w:ascii="Verdana" w:cs="Times New Roman" w:eastAsia="Times New Roman" w:hAnsi="Verdana"/>
          <w:b/>
          <w:bCs/>
          <w:color w:val="0087AD"/>
          <w:sz w:val="21"/>
          <w:lang w:eastAsia="es-ES"/>
        </w:rPr>
        <w:t>CAPÍTULO XI.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SUSPENSIÓN Y EXTINCIÓN DE LA RELACIÓN LABORAL</w:t>
      </w:r>
    </w:p>
    <w:p>
      <w:pPr>
        <w:pStyle w:val="style0"/>
        <w:shd w:fill="FFFFFF" w:val="clear"/>
        <w:spacing w:after="28" w:before="28" w:line="300" w:lineRule="atLeast"/>
        <w:jc w:val="both"/>
      </w:pPr>
      <w:bookmarkStart w:id="211" w:name="LOC_ART.90"/>
      <w:bookmarkStart w:id="212" w:name="SE109"/>
      <w:bookmarkEnd w:id="211"/>
      <w:bookmarkEnd w:id="212"/>
      <w:r>
        <w:rPr>
          <w:rFonts w:ascii="Verdana" w:cs="Times New Roman" w:eastAsia="Times New Roman" w:hAnsi="Verdana"/>
          <w:b/>
          <w:bCs/>
          <w:caps/>
          <w:color w:val="0087AD"/>
          <w:sz w:val="17"/>
          <w:lang w:eastAsia="es-ES"/>
        </w:rPr>
        <w:t>ARTÍCULO 90.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Causas y efectos de la suspensión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contrato de trabajo podrá suspenderse por las siguientes causas: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Mutuo acuerdo de las partes.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Las consignadas válidamente en el contrato.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Incapacidad temporal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Maternidad, paternidad, riesgo durante el embarazo, riesgo durante la lactancia natural de un menor de nueve meses, y adopción o acogimiento, tanto preadoptivo como permanente o simple, siempre que su duración no sea inferior a un año, aunque estos sean provisionales de menores de seis años, o menores de edad que superen los seis años cuando se trate de menores discapacitados o que por sus circunstancias y experiencias personales o por provenir del extranjero, tengan especiales dificultades de inserción social y familiar debidamente acreditadas por los Servicios Sociales competentes.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Ejercicio de cargo público representativo.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Privación de libertad del trabajador, mientras no exista sentencia condenatoria.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Suspensión de empleo y sueldo, por razones disciplinarias.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Fuerza mayor temporal.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Causas económicas, técnicas, organizativas o de producción que impidan la prestación y la aceptación del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Excedencia forzosa.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Ejercicio del derecho de huelga.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Cierre legal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Por decisión de la trabajadora que se vea obligada a abandonar su puesto de trabajo como consecuencia de ser víctima de violencia de género.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suspensión exonera de las obligaciones recíprocas de trabajar y remunerar 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la suspensión venga motivada por alguna de las causas previstas en los epígrafes f) y g) del apartado 1 de este artículo, y salvo acuerdo entre las partes, el tiempo de suspensión no computará a efectos de años de servicio.</w:t>
      </w:r>
    </w:p>
    <w:p>
      <w:pPr>
        <w:pStyle w:val="style0"/>
        <w:shd w:fill="FFFFFF" w:val="clear"/>
        <w:spacing w:after="28" w:before="28" w:line="300" w:lineRule="atLeast"/>
        <w:jc w:val="both"/>
      </w:pPr>
      <w:bookmarkStart w:id="213" w:name="LOC_ART.91"/>
      <w:bookmarkStart w:id="214" w:name="SE110"/>
      <w:bookmarkEnd w:id="213"/>
      <w:bookmarkEnd w:id="214"/>
      <w:r>
        <w:rPr>
          <w:rFonts w:ascii="Verdana" w:cs="Times New Roman" w:eastAsia="Times New Roman" w:hAnsi="Verdana"/>
          <w:b/>
          <w:bCs/>
          <w:caps/>
          <w:color w:val="0087AD"/>
          <w:sz w:val="17"/>
          <w:lang w:eastAsia="es-ES"/>
        </w:rPr>
        <w:t>ARTÍCULO 91.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Suspensión del contrato por causas de fuerza mayor temporal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 efectos de la causa de suspensión prevista en la letra h) del apartado 1 del artículo anterior, tendrán la consideración de fuerza mayor temporal, entre otras, siempre que resulten imprevisibles, o siendo previsibles, resulten inevitables, las situaciones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Imposibilidad de recepción de acopios, materiales o suministro de los mismos.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Corte del suministro de energía, por causas ajenas a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Fenómenos climatológicos que impidan la normal realización de los trabajos.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Paralización de la obra o parte de ésta, por orden gubernativa, resolución administrativa u otras causas similares ajenas a la voluntad del empresario, sin perjuicio de lo establecido, al respecto, para el contrato fijo de obra, en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Paralización de la actividad de los trabajadores en la obra, acordada por decisión mayoritaria de los representantes legales de aquéllos o, en su caso, de los delegados de prevención, cuando dicha paralización se mantenga con posterioridad y en contra del preceptivo pronunciamiento en el plazo de veinticuatro horas de la autoridad laboral.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todos estos supuestos, se aplicará el procedimiento previsto en el art. 51.12 del E.T.</w:t>
      </w:r>
    </w:p>
    <w:p>
      <w:pPr>
        <w:pStyle w:val="style0"/>
        <w:shd w:fill="FFFFFF" w:val="clear"/>
        <w:spacing w:after="28" w:before="28" w:line="300" w:lineRule="atLeast"/>
        <w:jc w:val="both"/>
      </w:pPr>
      <w:bookmarkStart w:id="215" w:name="LOC_ART.92"/>
      <w:bookmarkStart w:id="216" w:name="SE111"/>
      <w:bookmarkEnd w:id="215"/>
      <w:bookmarkEnd w:id="216"/>
      <w:r>
        <w:rPr>
          <w:rFonts w:ascii="Verdana" w:cs="Times New Roman" w:eastAsia="Times New Roman" w:hAnsi="Verdana"/>
          <w:b/>
          <w:bCs/>
          <w:caps/>
          <w:color w:val="0087AD"/>
          <w:sz w:val="17"/>
          <w:lang w:eastAsia="es-ES"/>
        </w:rPr>
        <w:t>ARTÍCULO 92.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Excedencia forzosa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supuestos de excedencia forzosa previstos en la Ley darán lugar al derecho a la conservación del puesto de trabajo y al cómputo de la antigüedad durante su vigencia. El reingreso se solicitará dentro del mes siguiente al cese en el cargo que motivó la excedencia, perdiéndose el derecho al reingreso si se solicita transcurrido este plazo.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duración del contrato de trabajo no se verá interrumpida por la situación de excedencia forzosa del trabajador, y en el caso de llegar el término del contrato durante el transcurso de la misma, se extinguirá dicho contrato, previa su denuncia o preaviso, salvo pacto en contrario.</w:t>
      </w:r>
    </w:p>
    <w:p>
      <w:pPr>
        <w:pStyle w:val="style0"/>
        <w:shd w:fill="FFFFFF" w:val="clear"/>
        <w:spacing w:after="28" w:before="28" w:line="300" w:lineRule="atLeast"/>
        <w:jc w:val="both"/>
      </w:pPr>
      <w:bookmarkStart w:id="217" w:name="LOC_ART.93"/>
      <w:bookmarkStart w:id="218" w:name="SE112"/>
      <w:bookmarkEnd w:id="217"/>
      <w:bookmarkEnd w:id="218"/>
      <w:r>
        <w:rPr>
          <w:rFonts w:ascii="Verdana" w:cs="Times New Roman" w:eastAsia="Times New Roman" w:hAnsi="Verdana"/>
          <w:b/>
          <w:bCs/>
          <w:caps/>
          <w:color w:val="0087AD"/>
          <w:sz w:val="17"/>
          <w:lang w:eastAsia="es-ES"/>
        </w:rPr>
        <w:t>ARTÍCULO 93.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Excedencias voluntarias, por cuidado de familiares y las reguladas por pacto de las partes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trabajador con al menos, una antigüedad en la empresa de un año, tendrá derecho a que se le reconozca la posibilidad de situarse en excedencia voluntaria por un plazo no inferior a cuatro meses ni superior a cinco años. El trabajador en excedencia, conservará un derecho preferente al reingreso en las vacantes, de igual o similar categoría a la suya, que hubiera o se produjeran en la empresa, siempre que lo solicite con, al menos, un mes de antelación al término de la excedencia. El tiempo de excedencia no computará a efectos de años de servicio.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trabajadores tendrán derecho a un período de excedencia, no superior a tres años, para atender al cuidado de cada hijo, ya sea por naturaleza o por adopción, o en los supuestos de acogimiento, tanto permanente como preadoptivo, aunque éstos sean provisionales, a contar desde la fecha de nacimiento o, en su caso, de la resolución judicial o administrativa. El período de duración de la excedencia podrá disfrutarse de forma fraccionada.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También tendrá derecho a un período de excedencia, de duración no superior a dos años, salvo que se establezca una duración superior por acuerdo entre las partes, los trabajadores para atender el cuidado de un familiar, hasta el segundo grado de consanguinidad o afinidad, que por razones de edad, accidente, enfermedad o discapacidad no pueda valerse por sí mismo, y no desempeñe actividad retribuida.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caso de que dos o más trabajadores de la misma empresa generasen este derecho por el mismo sujeto causante, el empresario podrá limitar su ejercicio simultáneo por razones justificadas de funcionamiento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un nuevo sujeto causante diera derecho a un nuevo período de excedencia, el inicio de la misma dará fin al que, en su caso, se viniera disfrutando.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período en que el trabajador permanezca en situación de excedencia conforme a lo establecido en este apartado será computable a efectos de años de servicio y el trabajador tendrá derecho a la asistencia a cursos de formación profesional, a cuya participación deberá ser convocado por el empresario, especialmente con ocasión de su incorporación, la cual deberá ser solicitada con, al menos, un mes de antelación al término de la excedencia. Durante el primer año tendrá derecho a la reserva de su puesto de trabajo. Transcurrido dicho plazo, la reserva quedará referida a un puesto de trabajo del mismo grupo profesional o categoría equivalente.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No obstante, cuando el trabajador forme parte de una familia que tenga reconocida oficialmente la condición de familia numerosa, la reserva de su puesto de trabajo se extenderá hasta un máximo de quince meses cuando se trate de una familia numerosa de categoría general, y hasta un máximo de dieciocho meses si se trata de categoría especial.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Durante el período de excedencia, el trabajador no podrá prestar sus servicios en otra empresa que se dedique a la misma actividad. Si así lo hiciera, perderá automáticamente su derecho de reingreso.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las excedencias pactadas se estará a lo que establezcan las partes.</w:t>
      </w:r>
    </w:p>
    <w:p>
      <w:pPr>
        <w:pStyle w:val="style0"/>
        <w:shd w:fill="FFFFFF" w:val="clear"/>
        <w:spacing w:after="28" w:before="28" w:line="300" w:lineRule="atLeast"/>
        <w:jc w:val="both"/>
      </w:pPr>
      <w:bookmarkStart w:id="219" w:name="LOC_ART.94"/>
      <w:bookmarkStart w:id="220" w:name="SE113"/>
      <w:bookmarkEnd w:id="219"/>
      <w:bookmarkEnd w:id="220"/>
      <w:r>
        <w:rPr>
          <w:rFonts w:ascii="Verdana" w:cs="Times New Roman" w:eastAsia="Times New Roman" w:hAnsi="Verdana"/>
          <w:b/>
          <w:bCs/>
          <w:caps/>
          <w:color w:val="0087AD"/>
          <w:sz w:val="17"/>
          <w:lang w:eastAsia="es-ES"/>
        </w:rPr>
        <w:t>ARTÍCULO 94.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Causas y efectos de la extinción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cuanto a la extinción del contrato de trabajo, se estará a lo dispuesto en la legislación vigente y, en concreto, a lo establecido en el E.T. en sus arts. 49 a 57, ambos inclusive, y a las especialidades previstas en este Convenio para el contrato fijo de obra y otras modalidades de contratación.</w:t>
      </w:r>
    </w:p>
    <w:p>
      <w:pPr>
        <w:pStyle w:val="style0"/>
        <w:shd w:fill="FFFFFF" w:val="clear"/>
        <w:spacing w:after="28" w:before="28" w:line="300" w:lineRule="atLeast"/>
        <w:jc w:val="both"/>
      </w:pPr>
      <w:bookmarkStart w:id="221" w:name="LOC_ART.95"/>
      <w:bookmarkStart w:id="222" w:name="SE114"/>
      <w:bookmarkEnd w:id="221"/>
      <w:bookmarkEnd w:id="222"/>
      <w:r>
        <w:rPr>
          <w:rFonts w:ascii="Verdana" w:cs="Times New Roman" w:eastAsia="Times New Roman" w:hAnsi="Verdana"/>
          <w:b/>
          <w:bCs/>
          <w:caps/>
          <w:color w:val="0087AD"/>
          <w:sz w:val="17"/>
          <w:lang w:eastAsia="es-ES"/>
        </w:rPr>
        <w:t>ARTÍCULO 95.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extinción del contrato, según el carácter del mismo, se ajustará a los siguientes requisitos: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Durante el período de prueba, las empresas y los trabajadores podrán dar por terminado su contrato sin necesidad de preaviso y sin derecho a indemnización alguna.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los contratos temporales, la extinción se producirá cuando transcurra el plazo de duración fijado en los mismos, previa su denuncia, en su caso.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En cuanto al contrato de fijo en obra, se estará a lo dispuesto al respecto en la regulación que del mismo se efectúa en este Convenio.</w:t>
      </w:r>
    </w:p>
    <w:p>
      <w:pPr>
        <w:pStyle w:val="style0"/>
        <w:shd w:fill="FFFFFF" w:val="clear"/>
        <w:spacing w:after="28" w:before="28" w:line="300" w:lineRule="atLeast"/>
        <w:jc w:val="both"/>
      </w:pPr>
      <w:bookmarkStart w:id="223" w:name="LOC_ART.96"/>
      <w:bookmarkStart w:id="224" w:name="SE115"/>
      <w:bookmarkEnd w:id="223"/>
      <w:bookmarkEnd w:id="224"/>
      <w:r>
        <w:rPr>
          <w:rFonts w:ascii="Verdana" w:cs="Times New Roman" w:eastAsia="Times New Roman" w:hAnsi="Verdana"/>
          <w:b/>
          <w:bCs/>
          <w:caps/>
          <w:color w:val="0087AD"/>
          <w:sz w:val="17"/>
          <w:lang w:eastAsia="es-ES"/>
        </w:rPr>
        <w:t>ARTÍCULO 96.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Finiquitos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recibo de finiquito de la relación laboral entre empresa y trabajador, para que surta plenos efectos liberatorios, deberá ser conforme al modelo que figura como Anexo III de este Convenio y con los requisitos y formalidades establecidos en los números siguientes. La Confederación Nacional de la Construcción lo editará y proveerá de ejemplares a todas las organizaciones patronales provinciales.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Toda comunicación de cese o de preaviso de cese, deberá ir acompañada de una propuesta de finiquito en el modelo citado. Cuando se utilice como propuesta, no será preciso cumplimentar la parte que figura después de la fecha y lugar.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recibo de finiquito será expedido por la organización patronal correspondiente, numerado, sellado y fechado y tendrá validez únicamente dentro de los quince días naturales siguientes a la fecha en que fue expedido. La organización patronal que lo expida, vendrá obligada a llevar un registro que contenga los datos anteriormente expresados.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Una vez firmado por el trabajador, este recibo de finiquito surtirá los efectos liberatorios que le son propios.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En los supuestos de extinción de contrato por voluntad del trabajador, no serán de aplicación los apartados 2 y 3 de este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El trabajador podrá estar asistido por un representante de los trabajadores, o en su defecto por un representante sindical de los sindicatos firmantes de presente Convenio, en el acto de la firma del recibo de finiquito.</w:t>
      </w:r>
    </w:p>
    <w:p>
      <w:pPr>
        <w:pStyle w:val="style0"/>
        <w:shd w:fill="FFFFFF" w:val="clear"/>
        <w:spacing w:after="28" w:before="28" w:line="300" w:lineRule="atLeast"/>
        <w:jc w:val="both"/>
      </w:pPr>
      <w:bookmarkStart w:id="225" w:name="LOC_ART.97"/>
      <w:bookmarkStart w:id="226" w:name="SE116"/>
      <w:bookmarkEnd w:id="225"/>
      <w:bookmarkEnd w:id="226"/>
      <w:r>
        <w:rPr>
          <w:rFonts w:ascii="Verdana" w:cs="Times New Roman" w:eastAsia="Times New Roman" w:hAnsi="Verdana"/>
          <w:b/>
          <w:bCs/>
          <w:caps/>
          <w:color w:val="0087AD"/>
          <w:sz w:val="17"/>
          <w:lang w:eastAsia="es-ES"/>
        </w:rPr>
        <w:t>ARTÍCULO 97.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Jubilación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partes firmantes del presente convenio, conscientes de que es necesario acometer una política de empleo encaminada a mejorar la estabilidad y la calidad del mismo, establecen, salvo pacto individual en contrario, la jubilación obligatoria a las edades y periodos cotizados que se señalan en el apartado 2, siempre que el trabajador cumpla con los requisitos legales para acceder a la pensión de jubilación. En todo caso, el trabajador deberá tener cubierto el período mínimo de cotización que le permita aplicar un porcentaje de un 80 por 100 a la base reguladora para el cálculo de la cuantía de la pensión y cumplir con los demás requisitos de Seguridad Social para tener derecho a la pensión de jubilación en su modalidad contributiva.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De acuerdo con el anterior apartado 1, y en coherencia con la legislación vigente que regula el requisito de edad para acceder a la jubilación –que prevé una modificación gradual de la edad legal de jubilación– la edad para aplicar la jubilación obligatoria regulada en este Convenio para cada uno de los años de vigencia del Convenio será la siguiente, en función de los periodos cotizados.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Así, durante el primer año de vigencia del presente Convenio, es decir durante 2012, la edad de jubilación obligatoria será la de 65 años.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2013: La edad de jubilación obligatoria será la de 65 años (para aquellos trabajadores que teniendo esa edad, acrediten un período de cotización mínimo de 35 años y 3 meses o más) o la de 65 años y 1 mes para aquellos otros trabajadores que tengan un período de cotización inferior a 35 años y 3 meses.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2014: La edad de jubilación obligatoria será la de 65 años (para aquellos trabajadores que teniendo esa edad, acrediten un período de cotización mínimo de 35 años y 6 meses o más) o de 65 años y 2 meses para aquellos otros trabajadores que tengan un período de cotización inferior a 35 años y 6 meses.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2015: La edad de jubilación obligatoria será la de 65 años (para aquellos trabajadores que teniendo esa edad, acrediten un período de cotización mínimo de 35 años y 9 meses o más) o de 65 años y 3 meses para aquellos otros trabajadores que tengan un período de cotización inferior a 35 años y 9 meses.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Y en 2016: La edad de jubilación obligatoria será la de 65 años (para aquellos trabajadores que teniendo esa edad, acrediten un período de cotización mínimo de 36 años o más) o de 65 años y 4 meses para aquellos otros trabajadores que tengan un período de cotización inferior a 36 años.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adjunta el siguiente cuadro resumen en el que figura la edad de jubilación obligatoria para cada uno de los años de vigencia del convenio, dependiendo del período de cotización acreditado en cada caso:</w:t>
      </w:r>
    </w:p>
    <w:tbl>
      <w:tblPr>
        <w:jc w:val="center"/>
        <w:tblBorders>
          <w:top w:color="00000A" w:space="0" w:sz="6" w:val="thickThinLargeGap"/>
          <w:left w:color="00000A" w:space="0" w:sz="6" w:val="thickThinLargeGap"/>
          <w:bottom w:color="00000A" w:space="0" w:sz="6" w:val="thickThinLargeGap"/>
          <w:right w:color="00000A" w:space="0" w:sz="6" w:val="thickThinLargeGap"/>
        </w:tblBorders>
      </w:tblPr>
      <w:tblGrid>
        <w:gridCol w:w="1737"/>
        <w:gridCol w:w="2696"/>
        <w:gridCol w:w="2617"/>
      </w:tblGrid>
      <w:tr>
        <w:trPr>
          <w:cantSplit w:val="false"/>
        </w:trPr>
        <w:tc>
          <w:tcPr>
            <w:tcW w:type="dxa" w:w="173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jc w:val="center"/>
            </w:pPr>
            <w:bookmarkStart w:id="227" w:name="LOC_ART.97#TAB.2"/>
            <w:bookmarkStart w:id="228" w:name="LOC_ART.97.TAB.2"/>
            <w:bookmarkEnd w:id="227"/>
            <w:bookmarkEnd w:id="228"/>
            <w:r>
              <w:rPr>
                <w:rFonts w:ascii="Times New Roman" w:cs="Times New Roman" w:eastAsia="Times New Roman" w:hAnsi="Times New Roman"/>
                <w:b/>
                <w:bCs/>
                <w:sz w:val="14"/>
                <w:lang w:eastAsia="es-ES"/>
              </w:rPr>
              <w:t>Año</w:t>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jc w:val="center"/>
            </w:pPr>
            <w:r>
              <w:rPr>
                <w:rFonts w:ascii="Times New Roman" w:cs="Times New Roman" w:eastAsia="Times New Roman" w:hAnsi="Times New Roman"/>
                <w:b/>
                <w:bCs/>
                <w:sz w:val="14"/>
                <w:lang w:eastAsia="es-ES"/>
              </w:rPr>
              <w:t>Periodos de cotización acreditados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jc w:val="center"/>
            </w:pPr>
            <w:r>
              <w:rPr>
                <w:rFonts w:ascii="Times New Roman" w:cs="Times New Roman" w:eastAsia="Times New Roman" w:hAnsi="Times New Roman"/>
                <w:b/>
                <w:bCs/>
                <w:sz w:val="14"/>
                <w:lang w:eastAsia="es-ES"/>
              </w:rPr>
              <w:t>Edad exigida</w:t>
            </w:r>
          </w:p>
        </w:tc>
      </w:tr>
      <w:tr>
        <w:trPr>
          <w:cantSplit w:val="false"/>
        </w:trPr>
        <w:tc>
          <w:tcPr>
            <w:tcW w:type="dxa" w:w="173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2012</w:t>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35 años.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w:t>
            </w:r>
          </w:p>
        </w:tc>
      </w:tr>
      <w:tr>
        <w:trPr>
          <w:cantSplit w:val="false"/>
        </w:trPr>
        <w:tc>
          <w:tcPr>
            <w:tcW w:type="dxa" w:w="1737"/>
            <w:vMerge w:val="restart"/>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2013</w:t>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35 años y 3 meses o más.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w:t>
            </w:r>
          </w:p>
        </w:tc>
      </w:tr>
      <w:tr>
        <w:trPr>
          <w:cantSplit w:val="false"/>
        </w:trPr>
        <w:tc>
          <w:tcPr>
            <w:tcW w:type="dxa" w:w="1737"/>
            <w:vMerge w:val="continue"/>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0" w:line="100" w:lineRule="atLeast"/>
            </w:pPr>
            <w:r>
              <w:rPr>
                <w:rFonts w:ascii="Times New Roman" w:cs="Times New Roman" w:eastAsia="Times New Roman" w:hAnsi="Times New Roman"/>
                <w:sz w:val="14"/>
                <w:szCs w:val="14"/>
                <w:lang w:eastAsia="es-ES"/>
              </w:rPr>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Menos de 35 años y 3 meses.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 y 1 mes.</w:t>
            </w:r>
          </w:p>
        </w:tc>
      </w:tr>
      <w:tr>
        <w:trPr>
          <w:cantSplit w:val="false"/>
        </w:trPr>
        <w:tc>
          <w:tcPr>
            <w:tcW w:type="dxa" w:w="1737"/>
            <w:vMerge w:val="restart"/>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2014</w:t>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35 años y 6 meses o más.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w:t>
            </w:r>
          </w:p>
        </w:tc>
      </w:tr>
      <w:tr>
        <w:trPr>
          <w:cantSplit w:val="false"/>
        </w:trPr>
        <w:tc>
          <w:tcPr>
            <w:tcW w:type="dxa" w:w="1737"/>
            <w:vMerge w:val="continue"/>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0" w:line="100" w:lineRule="atLeast"/>
            </w:pPr>
            <w:r>
              <w:rPr>
                <w:rFonts w:ascii="Times New Roman" w:cs="Times New Roman" w:eastAsia="Times New Roman" w:hAnsi="Times New Roman"/>
                <w:sz w:val="14"/>
                <w:szCs w:val="14"/>
                <w:lang w:eastAsia="es-ES"/>
              </w:rPr>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Menos de 35 años y 6 meses.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 y 2 meses.</w:t>
            </w:r>
          </w:p>
        </w:tc>
      </w:tr>
      <w:tr>
        <w:trPr>
          <w:cantSplit w:val="false"/>
        </w:trPr>
        <w:tc>
          <w:tcPr>
            <w:tcW w:type="dxa" w:w="1737"/>
            <w:vMerge w:val="restart"/>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2015</w:t>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35 años y 9 meses o más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w:t>
            </w:r>
          </w:p>
        </w:tc>
      </w:tr>
      <w:tr>
        <w:trPr>
          <w:cantSplit w:val="false"/>
        </w:trPr>
        <w:tc>
          <w:tcPr>
            <w:tcW w:type="dxa" w:w="1737"/>
            <w:vMerge w:val="continue"/>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0" w:line="100" w:lineRule="atLeast"/>
            </w:pPr>
            <w:r>
              <w:rPr>
                <w:rFonts w:ascii="Times New Roman" w:cs="Times New Roman" w:eastAsia="Times New Roman" w:hAnsi="Times New Roman"/>
                <w:sz w:val="14"/>
                <w:szCs w:val="14"/>
                <w:lang w:eastAsia="es-ES"/>
              </w:rPr>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Menos de 35 años y 9 meses.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 y 3 meses.</w:t>
            </w:r>
          </w:p>
        </w:tc>
      </w:tr>
      <w:tr>
        <w:trPr>
          <w:cantSplit w:val="false"/>
        </w:trPr>
        <w:tc>
          <w:tcPr>
            <w:tcW w:type="dxa" w:w="1737"/>
            <w:vMerge w:val="restart"/>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2016</w:t>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36 años o más.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w:t>
            </w:r>
          </w:p>
        </w:tc>
      </w:tr>
      <w:tr>
        <w:trPr>
          <w:cantSplit w:val="false"/>
        </w:trPr>
        <w:tc>
          <w:tcPr>
            <w:tcW w:type="dxa" w:w="1737"/>
            <w:vMerge w:val="continue"/>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0" w:line="100" w:lineRule="atLeast"/>
            </w:pPr>
            <w:r>
              <w:rPr>
                <w:rFonts w:ascii="Times New Roman" w:cs="Times New Roman" w:eastAsia="Times New Roman" w:hAnsi="Times New Roman"/>
                <w:sz w:val="14"/>
                <w:szCs w:val="14"/>
                <w:lang w:eastAsia="es-ES"/>
              </w:rPr>
            </w:r>
          </w:p>
        </w:tc>
        <w:tc>
          <w:tcPr>
            <w:tcW w:type="dxa" w:w="269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Menos de 36 años.</w:t>
            </w:r>
          </w:p>
        </w:tc>
        <w:tc>
          <w:tcPr>
            <w:tcW w:type="dxa" w:w="2617"/>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65 años y 4 meses.</w:t>
            </w:r>
          </w:p>
        </w:tc>
      </w:tr>
    </w:tbl>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Dicha medida, por un lado, se encuentra directamente vinculada al objetivo de mejora de la estabilidad en el empleo, cuya plasmación en el presente Convenio Colectivo se encuentra en la regulación del contrato fijo de obra del sector de la construcción previsto en el art. 24, a la prolongación del plazo máximo de duración de los contratos eventuales por circunstancias de la producción, acumulación de tareas o exceso de pedidos, contemplada en el art. 25 del presente Convenio, y a la subrogación de personal establecida en el art. 27.</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Junto a lo anterior, las partes consideran fundamental, como resultado de las mutuas contraprestaciones pactadas para lograr el deseable y necesario equilibrio interno del Convenio, vincular la jubilación obligatoria al objetivo de mejora de la calidad del empleo a través de las distintas medidas incorporadas al presente Convenio en materia de prevención de riesgos laborales tales como la regulación de un organismo de carácter paritario en materia preventiva, el establecimiento de programas formativos y contenidos específicos en materia preventiva, el programa de acreditación sectorial de la formación recibida por el trabajador, y el establecimiento de la Fundación Laboral de la Construcción, cuyos objetivos son el fomento de la formación profesional, la mejora de la salud y de la seguridad en el trabajo, así como elevar la cualificación profesional del sector, con el fin de profesionalizar y dignificar los distintos oficios y empleos del sector de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Sin perjuicio de los citados objetivos sectoriales dirigidos a favorecer la calidad en el empleo, tendrán idéntica consideración todas aquellas acciones concretas que tanto en materia de prevención de riesgos como de igualdad puedan llevarse a cabo por las empresas del sector, dirigidas a desarrollar, impulsar y mejorar la seguridad y la igualdad de sus empleados.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otro lado con el establecimiento de la remuneración bruta mínima anual las partes firmantes incluyen una mejora de las condiciones retributivas del Sector que redunda en la calidad de su empleo.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Respecto de la jubilación anticipada y parcial, se estará a lo dispuesto en la legislación vigente en cada momento.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Las partes firmantes del presente convenio se comprometen a formular petición razonada de solicitud de reducción de la edad de jubilación de las actividades en las escalas, categorías, o especialidades del sector en las que estimen que concurran situaciones o requerimientos físicos de penosidad, peligrosidad, insalubridad o toxicidad que hacen aconsejable el establecimiento de la anticipación de la edad de jubilación.</w:t>
      </w:r>
    </w:p>
    <w:p>
      <w:pPr>
        <w:pStyle w:val="style0"/>
        <w:shd w:fill="FFFFFF" w:val="clear"/>
        <w:spacing w:after="28" w:before="28" w:line="300" w:lineRule="atLeast"/>
        <w:jc w:val="both"/>
      </w:pPr>
      <w:bookmarkStart w:id="229" w:name="LOC_CAP.12"/>
      <w:bookmarkStart w:id="230" w:name="SE117"/>
      <w:bookmarkEnd w:id="229"/>
      <w:bookmarkEnd w:id="230"/>
      <w:r>
        <w:rPr>
          <w:rFonts w:ascii="Verdana" w:cs="Times New Roman" w:eastAsia="Times New Roman" w:hAnsi="Verdana"/>
          <w:b/>
          <w:bCs/>
          <w:color w:val="0087AD"/>
          <w:sz w:val="21"/>
          <w:lang w:eastAsia="es-ES"/>
        </w:rPr>
        <w:t>CAPÍTULO XII.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FALTAS Y SANCIONES</w:t>
      </w:r>
    </w:p>
    <w:p>
      <w:pPr>
        <w:pStyle w:val="style0"/>
        <w:shd w:fill="FFFFFF" w:val="clear"/>
        <w:spacing w:after="28" w:before="28" w:line="300" w:lineRule="atLeast"/>
        <w:jc w:val="both"/>
      </w:pPr>
      <w:bookmarkStart w:id="231" w:name="LOC_ART.98"/>
      <w:bookmarkStart w:id="232" w:name="SE118"/>
      <w:bookmarkEnd w:id="231"/>
      <w:bookmarkEnd w:id="232"/>
      <w:r>
        <w:rPr>
          <w:rFonts w:ascii="Verdana" w:cs="Times New Roman" w:eastAsia="Times New Roman" w:hAnsi="Verdana"/>
          <w:b/>
          <w:bCs/>
          <w:caps/>
          <w:color w:val="0087AD"/>
          <w:sz w:val="17"/>
          <w:lang w:eastAsia="es-ES"/>
        </w:rPr>
        <w:t>ARTÍCULO 98.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Criterios generales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empresa podrá sancionar, como falta laboral, las acciones u omisiones de los trabajadores que se produzcan con ocasión o como consecuencia de la relación laboral y que supongan una infracción o incumplimiento contractual de sus deberes laborales, de acuerdo con la tipificación y graduación de las faltas establecidas en el presente capítulo o en otras normas laborales o sociales.</w:t>
      </w:r>
    </w:p>
    <w:p>
      <w:pPr>
        <w:pStyle w:val="style0"/>
        <w:shd w:fill="FFFFFF" w:val="clear"/>
        <w:spacing w:after="28" w:before="28" w:line="300" w:lineRule="atLeast"/>
        <w:jc w:val="both"/>
      </w:pPr>
      <w:bookmarkStart w:id="233" w:name="LOC_ART.99"/>
      <w:bookmarkStart w:id="234" w:name="SE119"/>
      <w:bookmarkEnd w:id="233"/>
      <w:bookmarkEnd w:id="234"/>
      <w:r>
        <w:rPr>
          <w:rFonts w:ascii="Verdana" w:cs="Times New Roman" w:eastAsia="Times New Roman" w:hAnsi="Verdana"/>
          <w:b/>
          <w:bCs/>
          <w:caps/>
          <w:color w:val="0087AD"/>
          <w:sz w:val="17"/>
          <w:lang w:eastAsia="es-ES"/>
        </w:rPr>
        <w:t>ARTÍCULO 99.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Clases de faltas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faltas cometidas por los trabajadores al servicio de las empresas del sector, se clasificarán atendiendo a su importancia y, en su caso, a su reincidencia, en leves, graves, y muy graves, de conformidad con lo que se dispone en los artículos siguientes.</w:t>
      </w:r>
    </w:p>
    <w:p>
      <w:pPr>
        <w:pStyle w:val="style0"/>
        <w:shd w:fill="FFFFFF" w:val="clear"/>
        <w:spacing w:after="28" w:before="28" w:line="300" w:lineRule="atLeast"/>
        <w:jc w:val="both"/>
      </w:pPr>
      <w:bookmarkStart w:id="235" w:name="LOC_ART.100"/>
      <w:bookmarkStart w:id="236" w:name="SE120"/>
      <w:bookmarkEnd w:id="235"/>
      <w:bookmarkEnd w:id="236"/>
      <w:r>
        <w:rPr>
          <w:rFonts w:ascii="Verdana" w:cs="Times New Roman" w:eastAsia="Times New Roman" w:hAnsi="Verdana"/>
          <w:b/>
          <w:bCs/>
          <w:caps/>
          <w:color w:val="0087AD"/>
          <w:sz w:val="17"/>
          <w:lang w:eastAsia="es-ES"/>
        </w:rPr>
        <w:t>ARTÍCULO 100.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Faltas leves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considerarán faltas leves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Hasta tres faltas de puntualidad en un mes, sin motivo justificado.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 no comunicación, con cuarenta y ocho horas como mínimo de antelación, de cualquier falta de asistencia al trabajo por causas justificadas, a no ser que se acredite la imposibilidad de hacerlo.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abandono del centro o del puesto de trabajo, sin causa o motivo justificado, aún por breve tiempo, siempre que dicho abandono no fuera perjudicial para el desarrollo de la actividad productiva de la empresa o causa de daños o accidentes a sus compañeros de trabajo, en que podrá ser considerada como grave o muy grave.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Faltar al trabajo un día al mes, sin causa justificada.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La falta de atención y diligencia debidas en el desarrollo del trabajo encomendado, siempre y cuando no cause perjuicio de consideración a la empresa o a sus compañeros de trabajo, en cuyo supuesto podrá ser considerada como grave o muy grave.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Pequeños descuidos en la conservación del material.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No comunicar a la empresa cualquier variación de su situación que tenga incidencia en lo laboral, como el cambio de su residencia habitual.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La falta ocasional de aseo o limpieza personal, cuando ello ocasione reclamaciones o quejas de sus compañeros o jefes.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Las faltas de respeto, de escasa consideración, a sus compañeros, e incluso, a terceras personas ajenas a la empresa o centro de actividad, siempre que ello se produzca con motivo u ocasión del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Permanecer en zonas o lugares distintos de aquéllos en que realice su trabajo habitual, sin causa que lo justifique, o sin estar autorizado para ello.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Encontrarse en el local de trabajo, sin autorización, fuera de la jornada laboral.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La inobservancia de las normas en materia de prevención de riesgos laborales, que no entrañen riesgo grave para el trabajador, ni para sus compañeros o terceras personas.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Las discusiones sobre asuntos extraños al trabajo durante la jornada laboral. Si tales discusiones produjesen graves escándalos o alborotos, podrán ser consideradas como faltas graves o muy graves.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 Distraer a sus compañeros durante el tiempo de trabajo y prolongar las ausencias breves y justificadas por tiempo superior al necesario.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ñ) Usar medios telefónicos, telemáticos, informáticos, mecánicos o electrónicos de la empresa, para asuntos particulares, sin la debida autorización.</w:t>
      </w:r>
    </w:p>
    <w:p>
      <w:pPr>
        <w:pStyle w:val="style0"/>
        <w:shd w:fill="FFFFFF" w:val="clear"/>
        <w:spacing w:after="28" w:before="28" w:line="300" w:lineRule="atLeast"/>
        <w:jc w:val="both"/>
      </w:pPr>
      <w:bookmarkStart w:id="237" w:name="LOC_ART.101"/>
      <w:bookmarkStart w:id="238" w:name="SE121"/>
      <w:bookmarkEnd w:id="237"/>
      <w:bookmarkEnd w:id="238"/>
      <w:r>
        <w:rPr>
          <w:rFonts w:ascii="Verdana" w:cs="Times New Roman" w:eastAsia="Times New Roman" w:hAnsi="Verdana"/>
          <w:b/>
          <w:bCs/>
          <w:caps/>
          <w:color w:val="0087AD"/>
          <w:sz w:val="17"/>
          <w:lang w:eastAsia="es-ES"/>
        </w:rPr>
        <w:t>ARTÍCULO 101.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Faltas graves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considerarán faltas graves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Más de tres faltas de puntualidad en un mes o hasta tres cuando el retraso sea superior a quince minutos, en cada una de ellas, durante dicho período, sin causa justificada.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Faltar dos días al trabajo durante un mes, sin causa que lo justifique.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No prestar la diligencia o la atención debidas en el trabajo encomendado, que pueda suponer riesgo o perjuicio de cierta consideración para el propio trabajador, sus compañeros, la empresa o terceros.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La simulación de supuestos de incapacidad temporal o accidente.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El incumplimiento de las órdenes o la inobservancia de las normas en materia de prevención de riesgos laborales, cuando las mismas supongan riesgo grave para el trabajador, sus compañeros o terceros, así como negarse al uso de los medios de seguridad facilitados por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La desobediencia a los superiores en cualquier materia de trabajo, siempre que la orden no implique condición vejatoria para el trabajador o entrañe riesgo para la vida o salud, tanto de él como de otros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Cualquier alteración o falsificación de datos personales o laborales relativos al propio trabajador o a sus compañeros.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La negligencia o imprudencia graves en el desarrollo de la actividad encomendada.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Realizar, sin el oportuno permiso, trabajos particulares en la obra, o centro de trabajo, así como utilizar para usos propios herramientas de la empresa, tanto dentro como fuera de los locales de trabajo, a no ser que se cuente con la oportuna autorización.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La disminución voluntaria y ocasional en el rendimiento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Proporcionar datos reservados o información de la obra o centro de trabajo o de la empresa, o de personas de la misma, sin la debida autorización para ello.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La ocultación de cualquier hecho o falta que el trabajador hubiese presenciado y que podría causar perjuicio grave de cualquier índole para la empresa, para sus compañeros de trabajo o para terceros.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No advertir inmediatamente a sus jefes, al empresario o a quien lo represente, de cualquier anomalía, avería o accidente que observe en las instalaciones, maquinaria o locales.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 Introducir o facilitar el acceso al centro de trabajo a personas no autorizadas.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ñ) La negligencia grave en la conservación o en la limpieza de materiales y máquinas que el trabajador tenga a su cargo.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o) La reincidencia en cualquier falta leve, dentro del mismo trimestre, cuando haya mediado sanción por escrito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 Consumo de bebidas alcohólicas o de cualquier sustancia estupefaciente que repercuta negativamente en el trabajo.</w:t>
      </w:r>
    </w:p>
    <w:p>
      <w:pPr>
        <w:pStyle w:val="style0"/>
        <w:shd w:fill="FFFFFF" w:val="clear"/>
        <w:spacing w:after="28" w:before="28" w:line="300" w:lineRule="atLeast"/>
        <w:jc w:val="both"/>
      </w:pPr>
      <w:bookmarkStart w:id="239" w:name="LOC_ART.102"/>
      <w:bookmarkStart w:id="240" w:name="SE122"/>
      <w:bookmarkEnd w:id="239"/>
      <w:bookmarkEnd w:id="240"/>
      <w:r>
        <w:rPr>
          <w:rFonts w:ascii="Verdana" w:cs="Times New Roman" w:eastAsia="Times New Roman" w:hAnsi="Verdana"/>
          <w:b/>
          <w:bCs/>
          <w:caps/>
          <w:color w:val="0087AD"/>
          <w:sz w:val="17"/>
          <w:lang w:eastAsia="es-ES"/>
        </w:rPr>
        <w:t>ARTÍCULO 102.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Faltas muy graves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considerarán faltas muy graves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Más de diez faltas de puntualidad no justificadas, cometidas en el período de tres meses o de veinte, durante seis meses.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Faltar al trabajo más de dos días al mes, sin causa o motivo que lo justifique.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fraude, la deslealtad o el abuso de confianza en el trabajo, gestión o actividad encomendados; el hurto y el robo, tanto a sus compañeros como a la empresa o a cualquier persona que se halle en el centro de trabajo o fuera del mismo, durante el desarrollo de su actividad laboral.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Hacer desaparecer, inutilizar, destrozar o causar desperfectos en cualquier material, herramientas, máquinas, instalaciones, edificios, aparatos, enseres, documentos, libros o vehículos de la empresa o del centro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La embriaguez habitual o la toxicomanía si repercuten negativamente en 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La revelación de cualquier información de reserva obligada.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La competencia desleal.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Los malos tratos de palabra u obra o faltas graves de respeto y consideración a los superiores, compañeros o subordinados.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El incumplimiento o inobservancia de las normas de prevención de riesgos laborales, cuando sean causantes de accidente laboral grave, perjuicios graves a sus compañeros o a terceros, o daños graves a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El abuso de autoridad por parte de quien la ostente.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La disminución voluntaria y reiterada o continuada, en el rendimiento normal del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La desobediencia continuada o persistente.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Los actos desarrollados en el centro de trabajo o fuera de él, con motivo u ocasión del trabajo encomendado, que puedan ser constitutivos de delito.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 La emisión maliciosa, o por negligencia inexcusable, de noticias o información falsa referente a la empresa o centro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ñ) El abandono del puesto o del trabajo sin justificación, especialmente en puestos de mando o responsabilidad, o cuando ello ocasione evidente perjuicio para la empresa o pueda llegar a ser causa de accidente para el trabajador, sus compañeros o terceros.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o) La imprudencia o negligencia en el desempeño del trabajo encomendado, o cuando la forma de realizarlo implique riesgo de accidente o peligro grave de avería para las instalaciones o maquinaria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 La reincidencia en falta grave, aunque sea de distinta naturaleza, dentro del mismo semestre, que haya sido objeto de sanción por escrito.</w:t>
      </w:r>
    </w:p>
    <w:p>
      <w:pPr>
        <w:pStyle w:val="style0"/>
        <w:shd w:fill="FFFFFF" w:val="clear"/>
        <w:spacing w:after="28" w:before="28" w:line="300" w:lineRule="atLeast"/>
        <w:jc w:val="both"/>
      </w:pPr>
      <w:bookmarkStart w:id="241" w:name="LOC_ART.103"/>
      <w:bookmarkStart w:id="242" w:name="SE123"/>
      <w:bookmarkEnd w:id="241"/>
      <w:bookmarkEnd w:id="242"/>
      <w:r>
        <w:rPr>
          <w:rFonts w:ascii="Verdana" w:cs="Times New Roman" w:eastAsia="Times New Roman" w:hAnsi="Verdana"/>
          <w:b/>
          <w:bCs/>
          <w:caps/>
          <w:color w:val="0087AD"/>
          <w:sz w:val="17"/>
          <w:lang w:eastAsia="es-ES"/>
        </w:rPr>
        <w:t>ARTÍCULO 103.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Sanciones. 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sanciones que las empresas pueden aplicar, según la gravedad y circunstancias de las faltas cometidas, serán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Faltas leves: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Amonestación verbal.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Amonestación por escrito.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Faltas graves: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Suspensión de empleo y sueldo de uno a quince días.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Faltas muy graves: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Suspensión de empleo y sueldo de dieciséis a noventa días.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Despido.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Para la aplicación y graduación de las sanciones que anteceden en el punto 1, se tendrá en cuenta: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El mayor o menor grado de responsabilidad del que comete la falta.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 categoría profesional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La repercusión del hecho en los demás trabajadores y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Previamente a la imposición de sanciones por faltas graves o muy graves a los trabajadores que ostenten la condición de representante legal o sindical, les será instruido expediente contradictorio por parte de la empresa, en el que serán oídos, aparte del interesado, los restantes miembros de la representación a que éste perteneciera, si los hubiere.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obligación de instruir el expediente contradictorio aludido anteriormente, se extiende hasta el año siguiente a la cesación en el cargo representativo.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aquellos supuestos en los que la empresa pretenda imponer una sanción a aquellos trabajadores de los que tenga constancia que están afiliados a un sindicato, deberá, con carácter previo a la imposición de tal medida, dar audiencia a los delegados sindicales, si los hubiere.</w:t>
      </w:r>
    </w:p>
    <w:p>
      <w:pPr>
        <w:pStyle w:val="style0"/>
        <w:shd w:fill="FFFFFF" w:val="clear"/>
        <w:spacing w:after="28" w:before="28" w:line="300" w:lineRule="atLeast"/>
        <w:jc w:val="both"/>
      </w:pPr>
      <w:bookmarkStart w:id="243" w:name="LOC_ART.104"/>
      <w:bookmarkStart w:id="244" w:name="SE124"/>
      <w:bookmarkEnd w:id="243"/>
      <w:bookmarkEnd w:id="244"/>
      <w:r>
        <w:rPr>
          <w:rFonts w:ascii="Verdana" w:cs="Times New Roman" w:eastAsia="Times New Roman" w:hAnsi="Verdana"/>
          <w:b/>
          <w:bCs/>
          <w:caps/>
          <w:color w:val="0087AD"/>
          <w:sz w:val="17"/>
          <w:lang w:eastAsia="es-ES"/>
        </w:rPr>
        <w:t>ARTÍCULO 104.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Otros efectos de las sanciones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empresas anotarán en los expedientes laborales de sus trabajadores las sanciones que por falta grave o muy grave se les impongan, consignando también la reincidencia en las faltas leves.</w:t>
      </w:r>
    </w:p>
    <w:p>
      <w:pPr>
        <w:pStyle w:val="style0"/>
        <w:shd w:fill="FFFFFF" w:val="clear"/>
        <w:spacing w:after="28" w:before="28" w:line="300" w:lineRule="atLeast"/>
        <w:jc w:val="both"/>
      </w:pPr>
      <w:bookmarkStart w:id="245" w:name="SE125"/>
      <w:bookmarkEnd w:id="245"/>
      <w:r>
        <w:rPr>
          <w:rFonts w:ascii="Verdana" w:cs="Times New Roman" w:eastAsia="Times New Roman" w:hAnsi="Verdana"/>
          <w:b/>
          <w:bCs/>
          <w:color w:val="0087AD"/>
          <w:sz w:val="21"/>
          <w:lang w:eastAsia="es-ES"/>
        </w:rPr>
        <w:t>TÍTULO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REPRESENTANTES DE LOS TRABAJADORES</w:t>
      </w:r>
    </w:p>
    <w:p>
      <w:pPr>
        <w:pStyle w:val="style0"/>
        <w:shd w:fill="FFFFFF" w:val="clear"/>
        <w:spacing w:after="28" w:before="28" w:line="300" w:lineRule="atLeast"/>
        <w:jc w:val="both"/>
      </w:pPr>
      <w:bookmarkStart w:id="246" w:name="LOC_ART.105"/>
      <w:bookmarkStart w:id="247" w:name="SE126"/>
      <w:bookmarkEnd w:id="246"/>
      <w:bookmarkEnd w:id="247"/>
      <w:r>
        <w:rPr>
          <w:rFonts w:ascii="Verdana" w:cs="Times New Roman" w:eastAsia="Times New Roman" w:hAnsi="Verdana"/>
          <w:b/>
          <w:bCs/>
          <w:caps/>
          <w:color w:val="0087AD"/>
          <w:sz w:val="17"/>
          <w:lang w:eastAsia="es-ES"/>
        </w:rPr>
        <w:t>ARTÍCULO 105.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Representación unitaria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trabajadores tienen derecho a participar en la empresa a través de los comités de empresa o delegados de personal, en los términos regulados en el Título II del E.T. y en los siguientes apartados.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Dada la movilidad del personal del sector de la construcción, y de conformidad con el art. 69.2 del E.T., se pacta que la antigüedad mínima en la empresa para ser elegible queda reducida a tres meses computándose para ello todos los períodos que el trabajador haya estado prestando sus servicios en la empresa durante los doce meses anteriores la convocatoria de las elecciones.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Por la misma razón, expresada en el párrafo precedente, de la movilidad del personal, en las obras, el número de representantes podrá experimentar, cada año, el ajuste correspondiente, en más o en menos, de conformidad con lo establecido en el párrafo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caso de que se produzca un incremento de plantilla, se podrán celebrar elecciones parciales, en los términos establecidos en el art. 13.1 del Real Decreto 1844/1994, de 9 de septiembre, por el que se aprueba el Reglamento de elecciones a órganos de representación de los trabajadores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Los representantes legales, de acuerdo con el sindicato al que pertenezcan, tendrán derecho a la acumulación de hasta el 75 por 100 de horas retribuidas para el ejercicio de sus funciones, en uno o varios de ellos.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Aquellos convenios provinciales que, a la entrada en vigor del Convenio General del Sector de la Construcción de 1992, tuvieran establecidas condiciones más beneficiosas, las mantendrán en sus propios términos.</w:t>
      </w:r>
    </w:p>
    <w:p>
      <w:pPr>
        <w:pStyle w:val="style0"/>
        <w:shd w:fill="FFFFFF" w:val="clear"/>
        <w:spacing w:after="28" w:before="28" w:line="300" w:lineRule="atLeast"/>
        <w:jc w:val="both"/>
      </w:pPr>
      <w:bookmarkStart w:id="248" w:name="LOC_ART.106"/>
      <w:bookmarkStart w:id="249" w:name="SE127"/>
      <w:bookmarkEnd w:id="248"/>
      <w:bookmarkEnd w:id="249"/>
      <w:r>
        <w:rPr>
          <w:rFonts w:ascii="Verdana" w:cs="Times New Roman" w:eastAsia="Times New Roman" w:hAnsi="Verdana"/>
          <w:b/>
          <w:bCs/>
          <w:caps/>
          <w:color w:val="0087AD"/>
          <w:sz w:val="17"/>
          <w:lang w:eastAsia="es-ES"/>
        </w:rPr>
        <w:t>ARTÍCULO 106.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Representación sindical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materia de representación sindical, se estará a lo dispuesto en la Ley Orgánica 11/1985, de 2 de agosto, debiendo tenerse además en cuenta las siguientes estipulaciones: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 unidad de referencia para el desarrollo de la acción sindical es la empresa o, en su caso, el centro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delegados sindicales, de acuerdo con el sindicato al que pertenezcan, tendrán derecho a la acumulación de horas retribuidas para el ejercicio de sus funciones, en uno o varios de ellos, sin rebasar el máximo total de horas legalmente establecido.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Los convenios de ámbito inferior al presente podrán establecer un número de trabajadores inferior al establecido en la Ley Orgánica 11/1985, de 2 de agosto, de Libertad sindical, al objeto de tener derecho a la elección de delegados sindicales.</w:t>
      </w:r>
    </w:p>
    <w:p>
      <w:pPr>
        <w:pStyle w:val="style0"/>
        <w:shd w:fill="FFFFFF" w:val="clear"/>
        <w:spacing w:after="28" w:before="28" w:line="300" w:lineRule="atLeast"/>
        <w:jc w:val="both"/>
      </w:pPr>
      <w:bookmarkStart w:id="250" w:name="LOC_ART.107"/>
      <w:bookmarkStart w:id="251" w:name="SE128"/>
      <w:bookmarkEnd w:id="250"/>
      <w:bookmarkEnd w:id="251"/>
      <w:r>
        <w:rPr>
          <w:rFonts w:ascii="Verdana" w:cs="Times New Roman" w:eastAsia="Times New Roman" w:hAnsi="Verdana"/>
          <w:b/>
          <w:bCs/>
          <w:caps/>
          <w:color w:val="0087AD"/>
          <w:sz w:val="17"/>
          <w:lang w:eastAsia="es-ES"/>
        </w:rPr>
        <w:t>ARTÍCULO 107.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Responsabilidad de los sindicatos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sindicatos, en los términos previstos en el art. 5 de la Ley Orgánica de Libertad sindical, responderán de los actos o acuerdos adoptados por sus órganos estatutarios, en la esfera de sus respectivas competencias, y por los actos individuales de sus afiliados, cuando éstos actúen en el ejercicio de sus funciones representativas o por cuenta del sindicato.</w:t>
      </w:r>
    </w:p>
    <w:p>
      <w:pPr>
        <w:pStyle w:val="style0"/>
        <w:shd w:fill="FFFFFF" w:val="clear"/>
        <w:spacing w:after="28" w:before="28" w:line="300" w:lineRule="atLeast"/>
        <w:jc w:val="both"/>
      </w:pPr>
      <w:bookmarkStart w:id="252" w:name="SE129"/>
      <w:bookmarkEnd w:id="252"/>
      <w:r>
        <w:rPr>
          <w:rFonts w:ascii="Verdana" w:cs="Times New Roman" w:eastAsia="Times New Roman" w:hAnsi="Verdana"/>
          <w:b/>
          <w:bCs/>
          <w:color w:val="0087AD"/>
          <w:sz w:val="21"/>
          <w:lang w:eastAsia="es-ES"/>
        </w:rPr>
        <w:t>TÍTULO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COMISIONES MIXTAS</w:t>
      </w:r>
    </w:p>
    <w:p>
      <w:pPr>
        <w:pStyle w:val="style0"/>
        <w:shd w:fill="FFFFFF" w:val="clear"/>
        <w:spacing w:after="28" w:before="28" w:line="300" w:lineRule="atLeast"/>
        <w:jc w:val="both"/>
      </w:pPr>
      <w:bookmarkStart w:id="253" w:name="SE130"/>
      <w:bookmarkEnd w:id="253"/>
      <w:r>
        <w:rPr>
          <w:rFonts w:ascii="Verdana" w:cs="Times New Roman" w:eastAsia="Times New Roman" w:hAnsi="Verdana"/>
          <w:b/>
          <w:bCs/>
          <w:color w:val="0087AD"/>
          <w:sz w:val="21"/>
          <w:lang w:eastAsia="es-ES"/>
        </w:rPr>
        <w:t>CAPÍTULO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w:t>
      </w:r>
    </w:p>
    <w:p>
      <w:pPr>
        <w:pStyle w:val="style0"/>
        <w:shd w:fill="FFFFFF" w:val="clear"/>
        <w:spacing w:after="28" w:before="28" w:line="300" w:lineRule="atLeast"/>
        <w:jc w:val="both"/>
      </w:pPr>
      <w:bookmarkStart w:id="254" w:name="LOC_ART.108"/>
      <w:bookmarkStart w:id="255" w:name="SE131"/>
      <w:bookmarkEnd w:id="254"/>
      <w:bookmarkEnd w:id="255"/>
      <w:r>
        <w:rPr>
          <w:rFonts w:ascii="Verdana" w:cs="Times New Roman" w:eastAsia="Times New Roman" w:hAnsi="Verdana"/>
          <w:b/>
          <w:bCs/>
          <w:caps/>
          <w:color w:val="0087AD"/>
          <w:sz w:val="17"/>
          <w:lang w:eastAsia="es-ES"/>
        </w:rPr>
        <w:t>ARTÍCULO 108.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w:t>
      </w:r>
      <w:r>
        <w:rPr>
          <w:rFonts w:ascii="Verdana" w:cs="Times New Roman" w:eastAsia="Times New Roman" w:hAnsi="Verdana"/>
          <w:color w:val="0087AD"/>
          <w:sz w:val="17"/>
          <w:lang w:eastAsia="es-ES"/>
        </w:rPr>
        <w:t> </w:t>
      </w:r>
      <w:r>
        <w:rPr/>
        <w:drawing>
          <wp:inline distB="0" distL="0" distR="0" distT="0">
            <wp:extent cx="238125" cy="1809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238125" cy="180975"/>
                    </a:xfrm>
                    <a:prstGeom prst="rect">
                      <a:avLst/>
                    </a:prstGeom>
                    <a:noFill/>
                    <a:ln w="9525">
                      <a:noFill/>
                      <a:miter lim="800000"/>
                      <a:headEnd/>
                      <a:tailEnd/>
                    </a:ln>
                  </pic:spPr>
                </pic:pic>
              </a:graphicData>
            </a:graphic>
          </wp:inline>
        </w:drawing>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crea una Comisión Paritaria compuesta por un máximo de 12 miembros que serán designados por mitad por cada una de las partes, sindical y empresarial, en la forma que decidan las respectivas organizaciones y con las funciones que se especifican en el artículo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acuerdos de la Comisión Paritaria sobre interpretación o aplicación se adoptarán en todo caso por unanimidad mediante la correspondiente resolución y tendrán la misma eficacia jurídica y tramitación que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 Comisión se reunirá cuantas veces estime necesario para la buena marcha del presente Convenio y ella determinará, en cada caso, sus normas de funcionamiento.</w:t>
      </w:r>
    </w:p>
    <w:p>
      <w:pPr>
        <w:pStyle w:val="style0"/>
        <w:shd w:fill="FFFFFF" w:val="clear"/>
        <w:spacing w:after="28" w:before="28" w:line="300" w:lineRule="atLeast"/>
        <w:jc w:val="both"/>
      </w:pPr>
      <w:bookmarkStart w:id="256" w:name="LOC_ART.109"/>
      <w:bookmarkStart w:id="257" w:name="SE132"/>
      <w:bookmarkEnd w:id="256"/>
      <w:bookmarkEnd w:id="257"/>
      <w:r>
        <w:rPr>
          <w:rFonts w:ascii="Verdana" w:cs="Times New Roman" w:eastAsia="Times New Roman" w:hAnsi="Verdana"/>
          <w:b/>
          <w:bCs/>
          <w:caps/>
          <w:color w:val="0087AD"/>
          <w:sz w:val="17"/>
          <w:lang w:eastAsia="es-ES"/>
        </w:rPr>
        <w:t>ARTÍCULO 109.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Funciones y procedimientos de la Comisión Paritaria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Comisión Paritaria a que se refiere el artículo anterior, tendrá las siguientes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Vigilancia y seguimiento del cumplimiento de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El conocimiento y resolución de las cuestiones derivadas de la aplicación e interpretación de la totalidad de los preceptos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A instancia de alguna de las partes, mediar y/o intentar conciliar, en su caso, y previo acuerdo de éstas y a solicitud de las mismas, arbitrar en cuantas ocasiones y conflictos, todos ellos de carácter colectivo, puedan suscitarse en la aplicación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Entender, de forma previa y obligatoria a la vía administrativa y jurisdiccional, en los términos previstos en el apartado 2 de este artículo, sobre el planteamiento de conflictos colectivos que surjan por la aplicación e interpretación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La constante evolución tanto del marco de las relaciones de trabajo como de la situación y perspectivas de la actividad constructora junto con los frecuentes cambios normativos y la imprescindible función que los firmantes del Convenio Estatal le otorgan como norma vertebradora y de aplicación prevalente en las relaciones laborales, hacen necesario que la Comisión Paritaria lleve a cabo las oportunas funciones de adaptación del Convenio a la realidad económica y social del sector así como a los cambios normativos que pudieran producirse.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todo ello la Comisión Paritaria, cuando concurran circunstancias relevantes que a su juicio lo hagan necesario, llevará a cabo las adaptaciones que requiera el Convenio Estatal durante su vigencia.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Si fuera necesario, la Comisión Paritaria podrá, durante la vigencia del Convenio modificarlo. En este caso, además de la incorporación de la totalidad de los sujetos legitimados para la negociación, aunque no hayan sido firmantes del Convenio, deberán concurrir los requisitos de legitimación previstos en los arts. 87 y 88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Fijar, conforme a lo establecido en el art. 50.2, la tabla de la remuneración mínima bruta anual para cada año de vigencia de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En el caso de, que tras el correspondiente periodo de consultas establecido en el art. 41.4 del E.T., no se alcanzase acuerdo en la empresa en la negociación de la modificación sustancial de condiciones de trabajo regulada en el número 6 de dicho precepto, deberán remitirse las actuaciones dentro de los 5 días siguientes a la correspondiente Comisión Paritaria a fin de que ésta solvente las discrepancias.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Dichas actuaciones deberán enviarse junto con la correspondiente Acta de Desacuerdo recogida en el modelo del anexo IX y que de forma específica se establece para este supuesto.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caso de que la citada Comisión no lograse un acuerdo en el plazo de 7 días, remitirá dentro de los 3 días siguientes las actuaciones al Servicio Interconfederal de Mediación y Arbitraje de su ámbito acompañada del Acta del Anexo IX y ello a fin de que éste dicte el correspondiente arbitraje vinculante, en cuyo caso el laudo arbitral tendrá la misma eficacia que los acuerdos en periodo de consultas y sólo será recurrible conforme al procedimiento y en base a los motivos establecidos en el art. 91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los supuestos de ausencia de representantes de los trabajadores en la empresa, se entenderá atribuida a los sindicatos más representativos del sector que estuvieran legitimados para formar parte de la Comisión Negociadora del Convenio Colectivo de aplicación a la misma, salvo que los trabajadores atribuyan su representación a una comisión designada conforme a lo dispuesto en el art. 41.4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Fijar, en su caso, de acuerdo a lo pactado, la determinación de la remuneración que deberá trasladarse a las tablas de los respectivos Convenios Provinciales, así como cuantificar, si procede, la revisión de las citadas remuneraciones y sus efectos según la fórmula que al efecto se haya establecido.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Cuantas otras funciones tiendan a la mayor eficacia práctica del presente Convenio, o se deriven de lo estipulado en su texto y anexos que formen parte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Tanto las partes signatarias del presente Convenio como las comprendidas en el número 1 del art. 4 referente al ámbito personal, se obligan a poner en conocimiento de la Comisión Paritaria cuantas dudas, discrepancias y conflictos colectivos, de carácter general, pudieran plantearse en relación con la interpretación y aplicación del mismo, siempre que sean de su competencia conforme a lo establecido en el apartado anterior, a fin de que, mediante su intervención, se resuelva el problema planteado o, si ello no fuera posible, emita la correspondiente resolución o informe.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Sin perjuicio de lo pactado en el apartado 3 del artículo anterior, se establece que las cuestiones propias de su competencia que se planteen a la Comisión Paritaria deberán presentarse de forma escrita, y su contenido será el necesario para que pueda examinar y analizar el problema con conocimiento de causa, debiendo tener como contenido mínimo obligatorio: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Exposición sucinta y concreta del asunto.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Razones y fundamentos que entienda le asisten al proponente.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Propuesta o petición concreta que se formule a la Comisión.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 escrito de consulta se acompañarán cuantos documentos se entiendan necesarios para la mejor comprensión y resolución del problema.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 Comisión podrá recabar, por vía de ampliación, cuanta información o documentación estime pertinente para una mejor o más completa información del asunto, a cuyo efecto concederá un plazo al proponente que no podrá exceder de cinco días hábiles.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 Comisión Paritaria, una vez recibido el escrito de consulta o, en su caso, completada la información pertinente, dispondrá de un plazo no superior a veinte días hábiles para, en caso de acuerdo, resolver la cuestión suscitada emitiendo la correspondiente resolución.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no hubiese acuerdo se realizará Informe en el que los integrantes de la Comisión recogerán las consideraciones que, respectivamente, hayan formulado para fundamentar sus respectivas posiciones y, por lo tanto, la discrepancia.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este último supuesto la Comisión actuará conforme se establece en el número siguiente.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En aquellos supuestos en los que la Comisión Paritaria no alcance acuerdo en relación a las cuestiones que dentro de sus competencias les sean planteadas al margen de las recogidas en el anterior apartado 1, letra h), y en el Capítulo III del Título Preliminar trasladarán, en su caso, las discrepancias a los sistemas de solución extrajudicial de conflictos, asumiendo el IV Acuerdo al efecto suscrito entre CEOE-CEPYME y UGT y CC.OO. y publicado en el BOE de 10 de febrero de 2009 y ello de acuerdo con lo establecido en el art. 14 del presente Convenio, o en su caso, sometiéndose a los sistemas no judiciales de solución de conflictos establecidos mediante los correspondientes Acuerdos Interprofesionales previstos en el art. 83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Respecto de las medidas para contribuir a la flexibilidad interna de la empresa, la posible distribución irregular de la jornada será la regulada en el art. 85.3.i) 1º del E.T.</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procedimientos así como y los periodos temporales y de referencia para la movilidad funcional se encuentran regulados en el Capítulo IX. Movilidad Funcional, arts. 75 a 79 del presente Convenio.</w:t>
      </w:r>
    </w:p>
    <w:p>
      <w:pPr>
        <w:pStyle w:val="style0"/>
        <w:shd w:fill="FFFFFF" w:val="clear"/>
        <w:spacing w:after="28" w:before="28" w:line="300" w:lineRule="atLeast"/>
        <w:jc w:val="both"/>
      </w:pPr>
      <w:bookmarkStart w:id="258" w:name="SE133"/>
      <w:bookmarkEnd w:id="258"/>
      <w:r>
        <w:rPr>
          <w:rFonts w:ascii="Verdana" w:cs="Times New Roman" w:eastAsia="Times New Roman" w:hAnsi="Verdana"/>
          <w:b/>
          <w:bCs/>
          <w:color w:val="0087AD"/>
          <w:sz w:val="21"/>
          <w:lang w:eastAsia="es-ES"/>
        </w:rPr>
        <w:t>CAPÍTULO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SECTORIAL DE PRODUCTIVIDAD</w:t>
      </w:r>
    </w:p>
    <w:p>
      <w:pPr>
        <w:pStyle w:val="style0"/>
        <w:shd w:fill="FFFFFF" w:val="clear"/>
        <w:spacing w:after="28" w:before="28" w:line="300" w:lineRule="atLeast"/>
        <w:jc w:val="both"/>
      </w:pPr>
      <w:bookmarkStart w:id="259" w:name="LOC_ART.110"/>
      <w:bookmarkStart w:id="260" w:name="SE134"/>
      <w:bookmarkEnd w:id="259"/>
      <w:bookmarkEnd w:id="260"/>
      <w:r>
        <w:rPr>
          <w:rFonts w:ascii="Verdana" w:cs="Times New Roman" w:eastAsia="Times New Roman" w:hAnsi="Verdana"/>
          <w:b/>
          <w:bCs/>
          <w:caps/>
          <w:color w:val="0087AD"/>
          <w:sz w:val="17"/>
          <w:lang w:eastAsia="es-ES"/>
        </w:rPr>
        <w:t>ARTÍCULO 110.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Sectorial de Productividad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Comisión Sectorial de Productividad tendrá su sede en Madrid, en los locales que la propia Comisión acuerde en cada momento.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Dicha Comisión estará formada por un máximo de diez miembros, designados, la mitad por CNC y la otra mitad, por los sindicatos firmantes, todos ellos con voz y voto. El Presidente será designado, de entre los miembros, por ambas partes, de común acuerdo, y tendrá, en caso de empate, voto dirimente cuando así lo decidan, por unanimidad, las dos partes. El Secretario, será designado por las dos representaciones, de común acuerdo, de entre los miembros de la Comisión.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los supuestos específicos que así lo requieran, caso por caso, y siempre que lo apruebe la propia Comisión, se recabará la asistencia de especialistas o técnicos en las materias de que se trate.</w:t>
      </w:r>
    </w:p>
    <w:p>
      <w:pPr>
        <w:pStyle w:val="style0"/>
        <w:shd w:fill="FFFFFF" w:val="clear"/>
        <w:spacing w:after="28" w:before="28" w:line="300" w:lineRule="atLeast"/>
        <w:jc w:val="both"/>
      </w:pPr>
      <w:bookmarkStart w:id="261" w:name="LOC_ART.111"/>
      <w:bookmarkStart w:id="262" w:name="SE135"/>
      <w:bookmarkEnd w:id="261"/>
      <w:bookmarkEnd w:id="262"/>
      <w:r>
        <w:rPr>
          <w:rFonts w:ascii="Verdana" w:cs="Times New Roman" w:eastAsia="Times New Roman" w:hAnsi="Verdana"/>
          <w:b/>
          <w:bCs/>
          <w:caps/>
          <w:color w:val="0087AD"/>
          <w:sz w:val="17"/>
          <w:lang w:eastAsia="es-ES"/>
        </w:rPr>
        <w:t>ARTÍCULO 111.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Funcionamiento y acuerdos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propia Comisión Sectorial de Productividad se dotará de su reglamento de funcionamiento, en el que se establecerá que se deberá reunir con carácter ordinario, al menos, una vez cada tres meses, y con carácter extraordinario, cuando así lo solicite cualquiera de las partes o el Presidente, que convocará las reuniones, las presidirá y dirigirá los debates, otorgando y retirando la palabra, cuando lo estime oportuno.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acuerdos para su validez, requerirán el voto favorable de la mayoría absoluta de cada una de las dos representaciones.</w:t>
      </w:r>
    </w:p>
    <w:p>
      <w:pPr>
        <w:pStyle w:val="style0"/>
        <w:shd w:fill="FFFFFF" w:val="clear"/>
        <w:spacing w:after="28" w:before="28" w:line="300" w:lineRule="atLeast"/>
        <w:jc w:val="both"/>
      </w:pPr>
      <w:bookmarkStart w:id="263" w:name="LOC_ART.112"/>
      <w:bookmarkStart w:id="264" w:name="SE136"/>
      <w:bookmarkEnd w:id="263"/>
      <w:bookmarkEnd w:id="264"/>
      <w:r>
        <w:rPr>
          <w:rFonts w:ascii="Verdana" w:cs="Times New Roman" w:eastAsia="Times New Roman" w:hAnsi="Verdana"/>
          <w:b/>
          <w:bCs/>
          <w:caps/>
          <w:color w:val="0087AD"/>
          <w:sz w:val="17"/>
          <w:lang w:eastAsia="es-ES"/>
        </w:rPr>
        <w:t>ARTÍCULO 112.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Comisión Sectorial de Productividad será la encargada de elaborar y aprobar las tablas de rendimientos normales, que deberán formar parte de este Convenio como uno de sus Anexos, cuando lo apruebe la Comisión Paritaria del Convenio, constituyendo un todo orgánico con él.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Dicha Comisión de Productividad tendrá también la misión de aprobar, en su caso, las tablas de rendimientos que sometan a su consideración las comisiones negociadoras de los convenios colectivos provinciales o, en su caso, de comunidad autónoma, o las nuevas unidades que pretendan incluir en las mismas o la revisión de las ya existentes, conforme a lo acordado en el art. 41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No obstante lo anterior y en tanto la Comisión Sectorial de Productividad no haya elaborado las tablas de rendimientos normales, los convenios de ámbito inferior podrán elaborar tablas de rendimientos propias.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Para la validez de estas tablas de rendimientos, de ámbito provincial o autonómico, se requerirá la previa aprobación de la Comisión Sectorial de Productividad.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 citada Comisión tendrá, asimismo, la función de aprobar, en su caso, las adaptaciones de los rendimientos recogidos en el Convenio General que le propongan las comisiones negociadoras de los convenios colectivos provinciales o, en su caso, de comunidad autónoma, cuando entiendan que se dan circunstancias o hechos diferenciales que lo justifiquen.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 Comisión Sectorial resolverá las dudas o consultas que se le planteen en relación con la aplicación de las tablas de rendimientos.</w:t>
      </w:r>
    </w:p>
    <w:p>
      <w:pPr>
        <w:pStyle w:val="style0"/>
        <w:shd w:fill="FFFFFF" w:val="clear"/>
        <w:spacing w:after="28" w:before="28" w:line="300" w:lineRule="atLeast"/>
        <w:jc w:val="both"/>
      </w:pPr>
      <w:bookmarkStart w:id="265" w:name="SE137"/>
      <w:bookmarkEnd w:id="265"/>
      <w:r>
        <w:rPr>
          <w:rFonts w:ascii="Verdana" w:cs="Times New Roman" w:eastAsia="Times New Roman" w:hAnsi="Verdana"/>
          <w:b/>
          <w:bCs/>
          <w:color w:val="0087AD"/>
          <w:sz w:val="21"/>
          <w:lang w:eastAsia="es-ES"/>
        </w:rPr>
        <w:t>CAPÍTULO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 SECTORIAL DE FORMACIÓN PROFESIONAL</w:t>
      </w:r>
    </w:p>
    <w:p>
      <w:pPr>
        <w:pStyle w:val="style0"/>
        <w:shd w:fill="FFFFFF" w:val="clear"/>
        <w:spacing w:after="28" w:before="28" w:line="300" w:lineRule="atLeast"/>
        <w:jc w:val="both"/>
      </w:pPr>
      <w:bookmarkStart w:id="266" w:name="LOC_ART.113"/>
      <w:bookmarkStart w:id="267" w:name="SE138"/>
      <w:bookmarkEnd w:id="266"/>
      <w:bookmarkEnd w:id="267"/>
      <w:r>
        <w:rPr>
          <w:rFonts w:ascii="Verdana" w:cs="Times New Roman" w:eastAsia="Times New Roman" w:hAnsi="Verdana"/>
          <w:b/>
          <w:bCs/>
          <w:caps/>
          <w:color w:val="0087AD"/>
          <w:sz w:val="17"/>
          <w:lang w:eastAsia="es-ES"/>
        </w:rPr>
        <w:t>ARTÍCULO 113.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 Sectorial de Formación Profesional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constituye la Comisión Paritaria Sectorial de Formación Profesional que estará integrada por hasta doce miembros, designados, la mitad por la CNC y la otra mitad por los sindicatos firmantes, en la forma que decidan las respectivas organizaciones, todos ellos con voz y voto.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Previo acuerdo en cada caso podrán participar en la comisión expertos en la materia de que se trate, los cuales actuaran con voz pero sin voto.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Duración y cese: los miembros de la Comisión Paritaria Sectorial ejercerán la representación por el período de vigencia del IV Acuerdo Nacional de Formación, pudiendo cesar en su cargo por: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Libre revocación de las organizaciones que los eligieron.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Por renuncia o decisión personal.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cualesquiera de los supuestos de cese, se procederá de forma inmediata a la sustitución del miembro de la Comisión Paritaria Sectorial, a cuyos efectos dentro de los quince días siguientes al cese se notificará la nueva designación por la organización correspondiente.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Domicilio social: la Comisión Paritaria Sectorial tendrá su domicilio social en la sede de la Fundación Tripartita para la Formación en el Empleo, sita actualmente en calle Torrelaguna, 56 - 28027 Madrid, pudiendo libremente trasladar su domicilio a cualquier otro, bastando para ello el acuerdo de las partes.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En este domicilio existirá una Secretaría permanente que se encargará de las funciones administrativas propias de un órgano de esta naturaleza.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La Comisión Paritaria Sectorial se reunirá en el domicilio social de la misma, con carácter ordinario mensualmente y, con carácter extraordinario, cuando así lo solicite una de las partes.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convocatorias de la Comisión Paritaria Sectorial las realizará la Secretaria permanente de la misma. Las convocatorias se cursarán mediante cartas certificadas, telefax o cualquier otro medio que acredite fehacientemente su envío y recepción, con al menos siete días de antelación a la fecha en que deba celebrarse la reunión.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reuniones que tengan carácter urgente podrán convocarse con una antelación mínima de cuarenta y ocho horas. En la convocatoria deberá figurar día, hora y lugar de la reunión, así como los asuntos a tratar.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Comisión Paritaria Sectorial quedará válidamente constituida cuando concurran a la reunión, presentes o representados, cuatro de los miembros de cada una de las representaciones.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representación sólo podrá conferirse a otro miembro de la Comisión Paritaria Sectorial y habrá de hacerse por escrito, mediante correo o fax.</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Adopción de acuerdos: las decisiones de esta Comisión Paritaria se adoptarán por acuerdo unánime de ambas partes, empresarial y sindical, requiriéndose, en cualquier caso, el voto favorable de al menos cuatro miembros de cada una de las representaciones. Dichos acuerdos no serán efectivos hasta la aprobación del acta en que consten.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Comisión Paritaria Sectorial de formación tendrá, entre otras, las siguientes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Velar por el cumplimiento de lo dispuesto en este artículo.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Establecer o modificar criterios orientativos para la elaboración de los planes de formación continua sectoriales de empresas y agrupados, que afecten exclusivamente a las siguientes materias: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Prioridades respecto a las acciones de formación continua a desarrollar.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Orientación respecto a los colectivos de trabajadores preferentemente afectados por dichas acciones.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Mediar en las discrepancias que pudieran surgir entre las empresas y la representación legal de los trabajadores respecto del contenido del plan de formación elaborado por una empresa, siempre que ésta o la representación de los trabajadores en ella así lo requiera.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Emitir informes a su iniciativa o en aquellos casos en que se le solicite respecto de los temas de su competencia.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Realizar una memoria anual sobre la aplicación de este capítulo en lo relativo a la formación continua en 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Cuantas otras sean necesarias para desarrollar las actividades y funciones asignadas.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De los tiempos empleados en formación continua.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Para aquellos trabajadores que asistan a acciones formativas presenciales correspondientes a las convocatorias de la Fundación Tripartita para la Formación en el Empleo durante los años de vigencia del presente Convenio, gestionadas por la Fundación Laboral de la Construcción, el 50 por 100 de las horas que precise esa acción será dentro de la jornada laboral o se deducirán de la misma en dicho porcentaje, siempre que se den las siguientes condiciones: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 empresa podrá denegar la asistencia de un trabajador a una acción formativa, mediante resolución motivada por razones técnicas, organizativas o de producción. En caso de denegación el trabajador podrá recurrir ante el Consejo Territorial de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trabajadores que pueden asistir a las acciones formativas contempladas en este artículo, no superará anualmente al 10 por 100 de las plantillas, ni, en aquellos centros de trabajo con menos de 10 trabajadores, podrá concurrir más de uno.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50 por 100 de las horas a cargo de la empresa supondrá un máximo anual de veinte horas por trabajador, pudiendo distribuirse en una o varias acciones formativas.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El trabajador solicitante deberá haber superado el período de prueba y tener, en todo caso, una antigüedad mínima de un mes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Durante las horas formativas a cargo de la empresa el trabajador tendrá derecho al salario que le correspondería como si estuviera trabajando en jornada ordinaria.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El trabajador habrá de acreditar ante la empresa la asistencia a la correspondiente acción formativa.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Los permisos individuales de formación, recogidos en el IV Acuerdo Nacional de Formación, se regirán por lo dispuesto en 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Permisos individuales de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través de la negociación colectiva se podrán establecer los términos concretos de utilización de los Permisos Individuales de Formación –que en cualquier caso se adecuarán a lo dispuesto en el art. 12 del IV ANF– procurando, por una parte, una utilización homogénea entre todos los estamentos de la plantilla estableciendo, si fuera necesario, porcentajes por grupos profesionales y, por otra, la participación de los Representantes de los Trabajadores en el proceso de autorización del permiso por parte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Asimismo, las partes se comprometen a difundir y promover la utilización de los permisos individuales de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efectos meramente estadísticos, las empresas informarán anualmente a la Comisión Paritaria Sectorial de formación de los permisos individuales solicitados por sus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Acciones complementarias y de acompañamiento.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acciones complementarias y de acompañamiento a la formación han de ser el instrumento que permita los estudios necesarios para conocer con mayor profundidad la realidad del sector y con ello identificar las necesidades formativas del mismo, tanto en nuevas competencias profesionales como en aquellas en las que se detecten carencias.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Del mismo modo han de servir para mejorar la calidad y eficacia de la formación continua, incorporando las metodologías y herramientas más acordes con las características propias del sector, así como mediante el análisis de cualquier otro aspecto que las partes consideren de importancia para el desarrollo de la formación en 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Comisión Paritaria Sectorial establecerá las prioridades en cada convocatoria. En todo caso priorizará aquellos proyectos consensuados por las organizaciones que integran la Comisión Paritaria Sectorial.</w:t>
      </w:r>
    </w:p>
    <w:p>
      <w:pPr>
        <w:pStyle w:val="style0"/>
        <w:shd w:fill="FFFFFF" w:val="clear"/>
        <w:spacing w:after="28" w:before="28" w:line="300" w:lineRule="atLeast"/>
        <w:jc w:val="both"/>
      </w:pPr>
      <w:bookmarkStart w:id="268" w:name="SE139"/>
      <w:bookmarkEnd w:id="268"/>
      <w:r>
        <w:rPr>
          <w:rFonts w:ascii="Verdana" w:cs="Times New Roman" w:eastAsia="Times New Roman" w:hAnsi="Verdana"/>
          <w:b/>
          <w:bCs/>
          <w:color w:val="0087AD"/>
          <w:sz w:val="21"/>
          <w:lang w:eastAsia="es-ES"/>
        </w:rPr>
        <w:t>CAPÍTULO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 SECTORIAL DE SEGURIDAD Y SALUD EN EL TRABAJO</w:t>
      </w:r>
    </w:p>
    <w:p>
      <w:pPr>
        <w:pStyle w:val="style0"/>
        <w:shd w:fill="FFFFFF" w:val="clear"/>
        <w:spacing w:after="28" w:before="28" w:line="300" w:lineRule="atLeast"/>
        <w:jc w:val="both"/>
      </w:pPr>
      <w:bookmarkStart w:id="269" w:name="LOC_ART.114"/>
      <w:bookmarkStart w:id="270" w:name="SE140"/>
      <w:bookmarkEnd w:id="269"/>
      <w:bookmarkEnd w:id="270"/>
      <w:r>
        <w:rPr>
          <w:rFonts w:ascii="Verdana" w:cs="Times New Roman" w:eastAsia="Times New Roman" w:hAnsi="Verdana"/>
          <w:b/>
          <w:bCs/>
          <w:caps/>
          <w:color w:val="0087AD"/>
          <w:sz w:val="17"/>
          <w:lang w:eastAsia="es-ES"/>
        </w:rPr>
        <w:t>ARTÍCULO 114.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 Sectorial de Seguridad y Salud en 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reglamentación de esta Comisión se incluye en el Título II del Libro II del presente Convenio.</w:t>
      </w:r>
    </w:p>
    <w:p>
      <w:pPr>
        <w:pStyle w:val="style0"/>
        <w:shd w:fill="FFFFFF" w:val="clear"/>
        <w:spacing w:after="28" w:before="28" w:line="300" w:lineRule="atLeast"/>
        <w:jc w:val="both"/>
      </w:pPr>
      <w:bookmarkStart w:id="271" w:name="SE141"/>
      <w:bookmarkEnd w:id="271"/>
      <w:r>
        <w:rPr>
          <w:rFonts w:ascii="Verdana" w:cs="Times New Roman" w:eastAsia="Times New Roman" w:hAnsi="Verdana"/>
          <w:b/>
          <w:bCs/>
          <w:color w:val="0087AD"/>
          <w:sz w:val="21"/>
          <w:lang w:eastAsia="es-ES"/>
        </w:rPr>
        <w:t>TÍTULO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IGUALDAD DE OPORTUNIDADES</w:t>
      </w:r>
    </w:p>
    <w:p>
      <w:pPr>
        <w:pStyle w:val="style0"/>
        <w:shd w:fill="FFFFFF" w:val="clear"/>
        <w:spacing w:after="28" w:before="28" w:line="300" w:lineRule="atLeast"/>
        <w:jc w:val="both"/>
      </w:pPr>
      <w:bookmarkStart w:id="272" w:name="LOC_ART.115"/>
      <w:bookmarkStart w:id="273" w:name="SE142"/>
      <w:bookmarkEnd w:id="272"/>
      <w:bookmarkEnd w:id="273"/>
      <w:r>
        <w:rPr>
          <w:rFonts w:ascii="Verdana" w:cs="Times New Roman" w:eastAsia="Times New Roman" w:hAnsi="Verdana"/>
          <w:b/>
          <w:bCs/>
          <w:caps/>
          <w:color w:val="0087AD"/>
          <w:sz w:val="17"/>
          <w:lang w:eastAsia="es-ES"/>
        </w:rPr>
        <w:t>ARTÍCULO 115.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Igualdad de oportunidades y no discriminación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partes firmantes del presente Convenio, conscientes de la necesidad de seguir avanzando en la igualdad de mujeres y hombres en el ámbito laboral, e incidir en la igualdad de trato y no discriminación de género, así como en la eliminación de estereotipos, fomentando el igual valor de hombres y mujeres en todos los ámbitos, se comprometen a adoptar las medidas que se estimen necesarias y acuerdan llevar a cabo diferentes actuaciones en base a los siguientes principios: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Promover la aplicación efectiva de la igualdad de oportunidades en la empresa en cuanto al acceso al empleo, a la formación, a la promoción, a la protección a la maternidad y en las condiciones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Prevenir, detectar y erradicar cualquier manifestación de discriminación, directa o indirecta.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Identificar conjuntamente líneas de actuación e impulsar y desarrollar acciones concretas en esta materia.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Impulsar una presencia equilibrada de la mujer en los ámbitos de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Según lo dispuesto en la Ley 3/2007, de 22 de marzo, para la igualdad efectiva de hombres y mujeres, en el caso de empresas de más de 250 trabajadores las medidas de igualdad deberán dirigirse a la elaboración y aplicación de un Plan de Igualdad.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planes de igualdad de las empresas son un conjunto ordenando de medidas, adoptados después de realizar un diagnóstico de situación, tendentes a alcanzar en la empresa la igualdad de trato y oportunidades entre mujeres y hombres y eliminar la discriminación por razón de sexo.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Los planes de igualdad fijarán los concretos objetivos de igualdad a alcanzar, las estrategias y prácticas a adoptar para su consecución, así como el establecimiento de sistemas eficaces de seguimiento y evaluación de los objetivos fijados.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Para la consecución de estos objetivos fijados, los Planes de Igualdad podrán contemplar, entre otras, las materias al acceso al empleo, clasificación profesional, promoción y formación, retribuciones, ordenación del tiempo de trabajo para favorecer, en términos de igualdad entre mujeres y hombres, la conciliación laboral, personal y familiar, y prevención del acoso sexual y del acoso por razón de sexo.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Los Planes de Igualdad incluirán la totalidad de una empresa, sin perjuicio del establecimiento de acciones especiales adecuadas respecto a determinados centros de trabajo.</w:t>
      </w:r>
    </w:p>
    <w:p>
      <w:pPr>
        <w:pStyle w:val="style0"/>
        <w:shd w:fill="FFFFFF" w:val="clear"/>
        <w:spacing w:after="28" w:before="28" w:line="300" w:lineRule="atLeast"/>
        <w:jc w:val="both"/>
      </w:pPr>
      <w:bookmarkStart w:id="274" w:name="SE143"/>
      <w:bookmarkEnd w:id="274"/>
      <w:r>
        <w:rPr>
          <w:rFonts w:ascii="Verdana" w:cs="Times New Roman" w:eastAsia="Times New Roman" w:hAnsi="Verdana"/>
          <w:b/>
          <w:bCs/>
          <w:color w:val="0087AD"/>
          <w:sz w:val="21"/>
          <w:lang w:eastAsia="es-ES"/>
        </w:rPr>
        <w:t>TÍTULO 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 LA FUNDACIÓN LABORAL DE LA CONSTRUCCIÓN</w:t>
      </w:r>
    </w:p>
    <w:p>
      <w:pPr>
        <w:pStyle w:val="style0"/>
        <w:shd w:fill="FFFFFF" w:val="clear"/>
        <w:spacing w:after="28" w:before="28" w:line="300" w:lineRule="atLeast"/>
        <w:jc w:val="both"/>
      </w:pPr>
      <w:bookmarkStart w:id="275" w:name="LOC_ART.116"/>
      <w:bookmarkStart w:id="276" w:name="SE144"/>
      <w:bookmarkEnd w:id="275"/>
      <w:bookmarkEnd w:id="276"/>
      <w:r>
        <w:rPr>
          <w:rFonts w:ascii="Verdana" w:cs="Times New Roman" w:eastAsia="Times New Roman" w:hAnsi="Verdana"/>
          <w:b/>
          <w:bCs/>
          <w:caps/>
          <w:color w:val="0087AD"/>
          <w:sz w:val="17"/>
          <w:lang w:eastAsia="es-ES"/>
        </w:rPr>
        <w:t>ARTÍCULO 116.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Fundación Laboral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Fundación Laboral de la Construcción es el organismo paritario del sector constituido por los firmantes del CGSC, con la finalidad de garantizar la prestación de servicios a los trabajadores y empresas comprendidas en el ámbito de este Convenio, teniendo como ámbito de actuación la totalidad del territorio español, y cuyos estatutos forman parte integrante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financiación de la Fundación Laboral de la Construcción se nutrirá fundamentalmente de aportaciones de las Administraciones Públicas, más una aportación complementaria a cargo de las empresas, que no podrá superar el 0,25 por 100 de la masa salarial, establecida ésta sobre la misma base de cálculo de las cuotas de la Seguridad Social.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 Fundación Laboral de la Construcción del Principado de Asturias decidirá su integración en la Fundación Laboral de la Construcción, manteniendo su autonomía hasta tanto se acuerde entre ambas su unificación formal, que requerirá la aprobación de la Comisión Paritaria del Convenio General del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Se establece que la cuota de la Fundación Laboral de la Construcción para el año 2012 será del 0,25 por 100, siendo de un porcentaje sobre la base de cálculo de las cuotas a la Seguridad Social.</w:t>
      </w:r>
    </w:p>
    <w:p>
      <w:pPr>
        <w:pStyle w:val="style0"/>
        <w:shd w:fill="FFFFFF" w:val="clear"/>
        <w:spacing w:after="28" w:before="28" w:line="300" w:lineRule="atLeast"/>
        <w:jc w:val="both"/>
      </w:pPr>
      <w:bookmarkStart w:id="277" w:name="SE145"/>
      <w:bookmarkEnd w:id="277"/>
      <w:r>
        <w:rPr>
          <w:rFonts w:ascii="Verdana" w:cs="Times New Roman" w:eastAsia="Times New Roman" w:hAnsi="Verdana"/>
          <w:b/>
          <w:bCs/>
          <w:color w:val="0087AD"/>
          <w:sz w:val="21"/>
          <w:lang w:eastAsia="es-ES"/>
        </w:rPr>
        <w:t>TÍTULO VI.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SOLUCIÓN EXTRAJUDICIAL DE CONFLICTOS</w:t>
      </w:r>
    </w:p>
    <w:p>
      <w:pPr>
        <w:pStyle w:val="style0"/>
        <w:shd w:fill="FFFFFF" w:val="clear"/>
        <w:spacing w:after="28" w:before="28" w:line="300" w:lineRule="atLeast"/>
        <w:jc w:val="both"/>
      </w:pPr>
      <w:bookmarkStart w:id="278" w:name="LOC_ART.117"/>
      <w:bookmarkStart w:id="279" w:name="SE146"/>
      <w:bookmarkEnd w:id="278"/>
      <w:bookmarkEnd w:id="279"/>
      <w:r>
        <w:rPr>
          <w:rFonts w:ascii="Verdana" w:cs="Times New Roman" w:eastAsia="Times New Roman" w:hAnsi="Verdana"/>
          <w:b/>
          <w:bCs/>
          <w:caps/>
          <w:color w:val="0087AD"/>
          <w:sz w:val="17"/>
          <w:lang w:eastAsia="es-ES"/>
        </w:rPr>
        <w:t>ARTÍCULO 117.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Solución extrajudicial de conflictos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partes firmantes del presente Convenio General asumen el contenido íntegro del IV Acuerdo sobre Solución Extrajudicial de Conflictos Colectivos (ASEC IV), suscrito por las organizaciones empresariales CEOE y CEPYME y las Confederaciones Sindicales de UGT y CC.OO., publicado en el BOE de 14 de marzo de 2009, que desarrollará sus efectos en los ámbitos del Convenio General del Sector de la Construcción, con el alcance previsto en el propio ASEC IV o el que lo sustituya, en su caso.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Respecto a los sistemas autonómicos de solución de conflictos laborales, que precisen de adhesión como requisito para ser aplicables, las partes signatarias de este Convenio manifiestan su compromiso de promover, en los ámbitos correspondientes, la adhesión de los convenios colectivos provinciales o, en su caso, de Comunidad Autónoma, a los referidos sistemas de solución extrajudicial de conflictos.</w:t>
      </w:r>
    </w:p>
    <w:p>
      <w:pPr>
        <w:pStyle w:val="style0"/>
        <w:shd w:fill="FFFFFF" w:val="clear"/>
        <w:spacing w:after="28" w:before="28" w:line="300" w:lineRule="atLeast"/>
        <w:jc w:val="both"/>
      </w:pPr>
      <w:bookmarkStart w:id="280" w:name="LOC_LIB.2"/>
      <w:bookmarkStart w:id="281" w:name="SE147"/>
      <w:bookmarkEnd w:id="280"/>
      <w:bookmarkEnd w:id="281"/>
      <w:r>
        <w:rPr>
          <w:rFonts w:ascii="Verdana" w:cs="Times New Roman" w:eastAsia="Times New Roman" w:hAnsi="Verdana"/>
          <w:b/>
          <w:bCs/>
          <w:color w:val="0087AD"/>
          <w:sz w:val="21"/>
          <w:lang w:eastAsia="es-ES"/>
        </w:rPr>
        <w:t>LIBRO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ASPECTOS RELATIVOS A LA SEGURIDAD Y SALUD EN EL SECTOR DE LA CONSTRUCCIÓN</w:t>
      </w:r>
    </w:p>
    <w:p>
      <w:pPr>
        <w:pStyle w:val="style0"/>
        <w:shd w:fill="FFFFFF" w:val="clear"/>
        <w:spacing w:after="28" w:before="28" w:line="300" w:lineRule="atLeast"/>
        <w:jc w:val="both"/>
      </w:pPr>
      <w:bookmarkStart w:id="282" w:name="LOC_TIT.1"/>
      <w:bookmarkStart w:id="283" w:name="SE148"/>
      <w:bookmarkEnd w:id="282"/>
      <w:bookmarkEnd w:id="283"/>
      <w:r>
        <w:rPr>
          <w:rFonts w:ascii="Verdana" w:cs="Times New Roman" w:eastAsia="Times New Roman" w:hAnsi="Verdana"/>
          <w:b/>
          <w:bCs/>
          <w:color w:val="0087AD"/>
          <w:sz w:val="21"/>
          <w:lang w:eastAsia="es-ES"/>
        </w:rPr>
        <w:t>TÍTULO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ÓRGANO PARITARIO PARA LA PREVENCIÓN EN LA CONSTRUCCIÓN</w:t>
      </w:r>
    </w:p>
    <w:p>
      <w:pPr>
        <w:pStyle w:val="style0"/>
        <w:shd w:fill="FFFFFF" w:val="clear"/>
        <w:spacing w:after="28" w:before="28" w:line="300" w:lineRule="atLeast"/>
        <w:jc w:val="both"/>
      </w:pPr>
      <w:bookmarkStart w:id="284" w:name="SE149"/>
      <w:bookmarkEnd w:id="284"/>
      <w:r>
        <w:rPr>
          <w:rFonts w:ascii="Verdana" w:cs="Times New Roman" w:eastAsia="Times New Roman" w:hAnsi="Verdana"/>
          <w:b/>
          <w:bCs/>
          <w:color w:val="0087AD"/>
          <w:sz w:val="21"/>
          <w:lang w:eastAsia="es-ES"/>
        </w:rPr>
        <w:t>CAPÍTULO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bookmarkStart w:id="285" w:name="LOC_ART.118"/>
      <w:bookmarkStart w:id="286" w:name="SE150"/>
      <w:bookmarkEnd w:id="285"/>
      <w:bookmarkEnd w:id="286"/>
      <w:r>
        <w:rPr>
          <w:rFonts w:ascii="Verdana" w:cs="Times New Roman" w:eastAsia="Times New Roman" w:hAnsi="Verdana"/>
          <w:b/>
          <w:bCs/>
          <w:caps/>
          <w:color w:val="0087AD"/>
          <w:sz w:val="17"/>
          <w:lang w:eastAsia="es-ES"/>
        </w:rPr>
        <w:t>ARTÍCULO 118.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Definición y denominación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órgano específico es el órgano paritario de prevención de riesgos laborales en el sector de la construcción para apoyo, en la citada materia, de las empresas y centros de trabajo del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órgano específico se denomina «Organismo Paritario para la Prevención en la Construcción» (OPPC).</w:t>
      </w:r>
    </w:p>
    <w:p>
      <w:pPr>
        <w:pStyle w:val="style0"/>
        <w:shd w:fill="FFFFFF" w:val="clear"/>
        <w:spacing w:after="28" w:before="28" w:line="300" w:lineRule="atLeast"/>
        <w:jc w:val="both"/>
      </w:pPr>
      <w:bookmarkStart w:id="287" w:name="LOC_ART.119"/>
      <w:bookmarkStart w:id="288" w:name="SE151"/>
      <w:bookmarkEnd w:id="287"/>
      <w:bookmarkEnd w:id="288"/>
      <w:r>
        <w:rPr>
          <w:rFonts w:ascii="Verdana" w:cs="Times New Roman" w:eastAsia="Times New Roman" w:hAnsi="Verdana"/>
          <w:b/>
          <w:bCs/>
          <w:caps/>
          <w:color w:val="0087AD"/>
          <w:sz w:val="17"/>
          <w:lang w:eastAsia="es-ES"/>
        </w:rPr>
        <w:t>ARTÍCULO 119.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cometidos de este órgano específico sectorial de prevención son: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Seguimiento de la accidentabilidad laboral en el sector y elaboración de estadísticas propia de accidentes graves y mortales.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Organización y control de visitas a obras.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Propuesta de soluciones para la disminución de la accidentabilidad.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Organización y desarrollo de una formación itinerante a pie de obra.</w:t>
      </w:r>
    </w:p>
    <w:p>
      <w:pPr>
        <w:pStyle w:val="style0"/>
        <w:shd w:fill="FFFFFF" w:val="clear"/>
        <w:spacing w:after="28" w:before="28" w:line="300" w:lineRule="atLeast"/>
        <w:jc w:val="both"/>
      </w:pPr>
      <w:bookmarkStart w:id="289" w:name="LOC_ART.120"/>
      <w:bookmarkStart w:id="290" w:name="SE152"/>
      <w:bookmarkEnd w:id="289"/>
      <w:bookmarkEnd w:id="290"/>
      <w:r>
        <w:rPr>
          <w:rFonts w:ascii="Verdana" w:cs="Times New Roman" w:eastAsia="Times New Roman" w:hAnsi="Verdana"/>
          <w:b/>
          <w:bCs/>
          <w:caps/>
          <w:color w:val="0087AD"/>
          <w:sz w:val="17"/>
          <w:lang w:eastAsia="es-ES"/>
        </w:rPr>
        <w:t>ARTÍCULO 120.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Constitución y dependencia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órgano específico se constituye y se estructura en el seno de la Fundación Laboral de la Construcción (FLC), con dependencia de sus órganos de gobierno.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Salvo en lo previsto en el presente Reglamento, el órgano específico se atendrá en toda su actuación a lo establecido en los estatutos de la FLC y a las instrucciones emanadas de su Patronato y Comisión Ejecutiva.</w:t>
      </w:r>
    </w:p>
    <w:p>
      <w:pPr>
        <w:pStyle w:val="style0"/>
        <w:shd w:fill="FFFFFF" w:val="clear"/>
        <w:spacing w:after="28" w:before="28" w:line="300" w:lineRule="atLeast"/>
        <w:jc w:val="both"/>
      </w:pPr>
      <w:bookmarkStart w:id="291" w:name="LOC_ART.121"/>
      <w:bookmarkStart w:id="292" w:name="SE153"/>
      <w:bookmarkEnd w:id="291"/>
      <w:bookmarkEnd w:id="292"/>
      <w:r>
        <w:rPr>
          <w:rFonts w:ascii="Verdana" w:cs="Times New Roman" w:eastAsia="Times New Roman" w:hAnsi="Verdana"/>
          <w:b/>
          <w:bCs/>
          <w:caps/>
          <w:color w:val="0087AD"/>
          <w:sz w:val="17"/>
          <w:lang w:eastAsia="es-ES"/>
        </w:rPr>
        <w:t>ARTÍCULO 121.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Ámbitos territorial y funcional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ámbitos territorial y funcional de actuación del órgano específico son los de la Fundación Laboral de la Construcción (FLC), tanto en el ámbito estatal como en el autonómico.</w:t>
      </w:r>
    </w:p>
    <w:p>
      <w:pPr>
        <w:pStyle w:val="style0"/>
        <w:shd w:fill="FFFFFF" w:val="clear"/>
        <w:spacing w:after="28" w:before="28" w:line="300" w:lineRule="atLeast"/>
        <w:jc w:val="both"/>
      </w:pPr>
      <w:bookmarkStart w:id="293" w:name="LOC_ART.122"/>
      <w:bookmarkStart w:id="294" w:name="SE154"/>
      <w:bookmarkEnd w:id="293"/>
      <w:bookmarkEnd w:id="294"/>
      <w:r>
        <w:rPr>
          <w:rFonts w:ascii="Verdana" w:cs="Times New Roman" w:eastAsia="Times New Roman" w:hAnsi="Verdana"/>
          <w:b/>
          <w:bCs/>
          <w:caps/>
          <w:color w:val="0087AD"/>
          <w:sz w:val="17"/>
          <w:lang w:eastAsia="es-ES"/>
        </w:rPr>
        <w:t>ARTÍCULO 122.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Sede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sede del órgano específico será la del domicilio social de la FLC y la de sus Consejos o Comisiones Territoriales, según el ámbito en el que actúe.</w:t>
      </w:r>
    </w:p>
    <w:p>
      <w:pPr>
        <w:pStyle w:val="style0"/>
        <w:shd w:fill="FFFFFF" w:val="clear"/>
        <w:spacing w:after="28" w:before="28" w:line="300" w:lineRule="atLeast"/>
        <w:jc w:val="both"/>
      </w:pPr>
      <w:bookmarkStart w:id="295" w:name="SE155"/>
      <w:bookmarkEnd w:id="295"/>
      <w:r>
        <w:rPr>
          <w:rFonts w:ascii="Verdana" w:cs="Times New Roman" w:eastAsia="Times New Roman" w:hAnsi="Verdana"/>
          <w:b/>
          <w:bCs/>
          <w:color w:val="0087AD"/>
          <w:sz w:val="21"/>
          <w:lang w:eastAsia="es-ES"/>
        </w:rPr>
        <w:t>CAPÍTULO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MIEMBROS</w:t>
      </w:r>
    </w:p>
    <w:p>
      <w:pPr>
        <w:pStyle w:val="style0"/>
        <w:shd w:fill="FFFFFF" w:val="clear"/>
        <w:spacing w:after="28" w:before="28" w:line="300" w:lineRule="atLeast"/>
        <w:jc w:val="both"/>
      </w:pPr>
      <w:bookmarkStart w:id="296" w:name="LOC_ART.123"/>
      <w:bookmarkStart w:id="297" w:name="SE156"/>
      <w:bookmarkEnd w:id="296"/>
      <w:bookmarkEnd w:id="297"/>
      <w:r>
        <w:rPr>
          <w:rFonts w:ascii="Verdana" w:cs="Times New Roman" w:eastAsia="Times New Roman" w:hAnsi="Verdana"/>
          <w:b/>
          <w:bCs/>
          <w:caps/>
          <w:color w:val="0087AD"/>
          <w:sz w:val="17"/>
          <w:lang w:eastAsia="es-ES"/>
        </w:rPr>
        <w:t>ARTÍCULO 123.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Composición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órgano específico está compuesto, paritariamente, por ocho miembros, cuatro representantes empresariales y cuatro de las centrales sindicales pertenecientes a las organizaciones firmantes del CGSC, y está presidido por el Presidente de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Para la ejecución de sus actividades en el ámbito autonómico el órgano específico dispondrá de cuatro miembros, dos representantes de las organizaciones empresariales y dos de las centrales sindicales firmantes del CGSC, y estará presidido por el Presidente del Consejo o de la Comisión Territorial de la FLC o persona en quien delegue.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Tanto en el ámbito estatal como en el autonómico, el órgano específico estará asistido por un Secretario que será elegido de entre sus miembros.</w:t>
      </w:r>
    </w:p>
    <w:p>
      <w:pPr>
        <w:pStyle w:val="style0"/>
        <w:shd w:fill="FFFFFF" w:val="clear"/>
        <w:spacing w:after="28" w:before="28" w:line="300" w:lineRule="atLeast"/>
        <w:jc w:val="both"/>
      </w:pPr>
      <w:bookmarkStart w:id="298" w:name="LOC_ART.124"/>
      <w:bookmarkStart w:id="299" w:name="SE157"/>
      <w:bookmarkEnd w:id="298"/>
      <w:bookmarkEnd w:id="299"/>
      <w:r>
        <w:rPr>
          <w:rFonts w:ascii="Verdana" w:cs="Times New Roman" w:eastAsia="Times New Roman" w:hAnsi="Verdana"/>
          <w:b/>
          <w:bCs/>
          <w:caps/>
          <w:color w:val="0087AD"/>
          <w:sz w:val="17"/>
          <w:lang w:eastAsia="es-ES"/>
        </w:rPr>
        <w:t>ARTÍCULO 124.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Nombramientos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miembros del órgano específico serán designados por las organizaciones a quienes representan, tanto los pertenecientes al ámbito del Estado como del autonómico.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Sus miembros ejercerán su mandato de representación por un periodo de cuatro años, pudiendo ser reelegidos por periodos de igual duración.</w:t>
      </w:r>
    </w:p>
    <w:p>
      <w:pPr>
        <w:pStyle w:val="style0"/>
        <w:shd w:fill="FFFFFF" w:val="clear"/>
        <w:spacing w:after="28" w:before="28" w:line="300" w:lineRule="atLeast"/>
        <w:jc w:val="both"/>
      </w:pPr>
      <w:bookmarkStart w:id="300" w:name="LOC_ART.125"/>
      <w:bookmarkStart w:id="301" w:name="SE158"/>
      <w:bookmarkEnd w:id="300"/>
      <w:bookmarkEnd w:id="301"/>
      <w:r>
        <w:rPr>
          <w:rFonts w:ascii="Verdana" w:cs="Times New Roman" w:eastAsia="Times New Roman" w:hAnsi="Verdana"/>
          <w:b/>
          <w:bCs/>
          <w:caps/>
          <w:color w:val="0087AD"/>
          <w:sz w:val="17"/>
          <w:lang w:eastAsia="es-ES"/>
        </w:rPr>
        <w:t>ARTÍCULO 125.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Ceses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miembros del órgano específico cesarán en su cargo por: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Cumplimiento de su mandato.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Libre revocación efectuada por la organización que le designó.</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Por renuncia expresa.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Por fallecimiento.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cualquiera de los supuestos de cese previstos en este artículo se procederá a la sustitución del miembro del órgano específico, a cuyos efectos, la organización empresarial o sindical a quien corresponda su sustitución, notificará a la FLC, en el plazo máximo de treinta días, la nueva designación.</w:t>
      </w:r>
    </w:p>
    <w:p>
      <w:pPr>
        <w:pStyle w:val="style0"/>
        <w:shd w:fill="FFFFFF" w:val="clear"/>
        <w:spacing w:after="28" w:before="28" w:line="300" w:lineRule="atLeast"/>
        <w:jc w:val="both"/>
      </w:pPr>
      <w:bookmarkStart w:id="302" w:name="SE159"/>
      <w:bookmarkEnd w:id="302"/>
      <w:r>
        <w:rPr>
          <w:rFonts w:ascii="Verdana" w:cs="Times New Roman" w:eastAsia="Times New Roman" w:hAnsi="Verdana"/>
          <w:b/>
          <w:bCs/>
          <w:color w:val="0087AD"/>
          <w:sz w:val="21"/>
          <w:lang w:eastAsia="es-ES"/>
        </w:rPr>
        <w:t>CAPÍTULO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RÉGIMEN INTERNO</w:t>
      </w:r>
    </w:p>
    <w:p>
      <w:pPr>
        <w:pStyle w:val="style0"/>
        <w:shd w:fill="FFFFFF" w:val="clear"/>
        <w:spacing w:after="28" w:before="28" w:line="300" w:lineRule="atLeast"/>
        <w:jc w:val="both"/>
      </w:pPr>
      <w:bookmarkStart w:id="303" w:name="LOC_ART.126"/>
      <w:bookmarkStart w:id="304" w:name="SE160"/>
      <w:bookmarkEnd w:id="303"/>
      <w:bookmarkEnd w:id="304"/>
      <w:r>
        <w:rPr>
          <w:rFonts w:ascii="Verdana" w:cs="Times New Roman" w:eastAsia="Times New Roman" w:hAnsi="Verdana"/>
          <w:b/>
          <w:bCs/>
          <w:caps/>
          <w:color w:val="0087AD"/>
          <w:sz w:val="17"/>
          <w:lang w:eastAsia="es-ES"/>
        </w:rPr>
        <w:t>ARTÍCULO 126.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Reuniones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reuniones ordinarias del órgano específico serán mensuales, y con carácter extraordinario cuando lo solicite la mitad más uno de sus miembros o cuando lo estime el Presidente.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convocatoria de las reuniones se hará por el Presidente por escrito y con un mínimo de siete días de antelación a la fecha fijada para la reunión, salvo las que tengan carácter de urgencia, que podrán convocarse con una antelación mínima de cuarenta y ocho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la convocatoria figurará el orden del día que se tratará en la reunión.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reuniones del órgano específico requerirán para su validez la presencia de, al menos, la mitad más uno de los miembros de cada representación, empresarial y sindical.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delegación sólo podrá conferirse, por escrito a otro miembro de la respectiva representación.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Las decisiones, para su validez, requerirán que se adopten por unanimidad de los asistentes, presentes y representados.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todo caso, las deliberaciones, los acuerdos y la información derivada de las actuaciones del órgano específico tendrán carácter reservado.</w:t>
      </w:r>
    </w:p>
    <w:p>
      <w:pPr>
        <w:pStyle w:val="style0"/>
        <w:shd w:fill="FFFFFF" w:val="clear"/>
        <w:spacing w:after="28" w:before="28" w:line="300" w:lineRule="atLeast"/>
        <w:jc w:val="both"/>
      </w:pPr>
      <w:bookmarkStart w:id="305" w:name="SE161"/>
      <w:bookmarkEnd w:id="305"/>
      <w:r>
        <w:rPr>
          <w:rFonts w:ascii="Verdana" w:cs="Times New Roman" w:eastAsia="Times New Roman" w:hAnsi="Verdana"/>
          <w:b/>
          <w:bCs/>
          <w:color w:val="0087AD"/>
          <w:sz w:val="21"/>
          <w:lang w:eastAsia="es-ES"/>
        </w:rPr>
        <w:t>CAPÍTULO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RÉGIMEN ECONÓMICO</w:t>
      </w:r>
    </w:p>
    <w:p>
      <w:pPr>
        <w:pStyle w:val="style0"/>
        <w:shd w:fill="FFFFFF" w:val="clear"/>
        <w:spacing w:after="28" w:before="28" w:line="300" w:lineRule="atLeast"/>
        <w:jc w:val="both"/>
      </w:pPr>
      <w:bookmarkStart w:id="306" w:name="LOC_ART.127"/>
      <w:bookmarkStart w:id="307" w:name="SE162"/>
      <w:bookmarkEnd w:id="306"/>
      <w:bookmarkEnd w:id="307"/>
      <w:r>
        <w:rPr>
          <w:rFonts w:ascii="Verdana" w:cs="Times New Roman" w:eastAsia="Times New Roman" w:hAnsi="Verdana"/>
          <w:b/>
          <w:bCs/>
          <w:caps/>
          <w:color w:val="0087AD"/>
          <w:sz w:val="17"/>
          <w:lang w:eastAsia="es-ES"/>
        </w:rPr>
        <w:t>ARTÍCULO 127.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Financiación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órgano específico se financiará, para la ejecución de sus actividades, de las siguientes fuentes: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 las subvenciones que pueda obtener de las Administraciones Públicas y organismos privados.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De los fondos disponibles de la cuota empresarial a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De las actuaciones con financiación externa que puedan ser aprobadas por terceros.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De los remanentes que decida la Comisión Ejecutiva de la FLC procedentes de otras actividades.</w:t>
      </w:r>
    </w:p>
    <w:p>
      <w:pPr>
        <w:pStyle w:val="style0"/>
        <w:shd w:fill="FFFFFF" w:val="clear"/>
        <w:spacing w:after="28" w:before="28" w:line="300" w:lineRule="atLeast"/>
        <w:jc w:val="both"/>
      </w:pPr>
      <w:bookmarkStart w:id="308" w:name="LOC_ART.128"/>
      <w:bookmarkStart w:id="309" w:name="SE163"/>
      <w:bookmarkEnd w:id="308"/>
      <w:bookmarkEnd w:id="309"/>
      <w:r>
        <w:rPr>
          <w:rFonts w:ascii="Verdana" w:cs="Times New Roman" w:eastAsia="Times New Roman" w:hAnsi="Verdana"/>
          <w:b/>
          <w:bCs/>
          <w:caps/>
          <w:color w:val="0087AD"/>
          <w:sz w:val="17"/>
          <w:lang w:eastAsia="es-ES"/>
        </w:rPr>
        <w:t>ARTÍCULO 128.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Presupuesto anual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órgano específico presentará anualmente a la FLC su propuesta de presupuesto sobre la base del importe global aportado por el Patronato desglosado por Comunidades Autónomas, que tendrá que ser aprobado por el Patronato de la Fundación, y que comprenderá la totalidad de las actividades y los gastos de gestión y funcionamiento.</w:t>
      </w:r>
    </w:p>
    <w:p>
      <w:pPr>
        <w:pStyle w:val="style0"/>
        <w:shd w:fill="FFFFFF" w:val="clear"/>
        <w:spacing w:after="28" w:before="28" w:line="300" w:lineRule="atLeast"/>
        <w:jc w:val="both"/>
      </w:pPr>
      <w:bookmarkStart w:id="310" w:name="LOC_ART.129"/>
      <w:bookmarkStart w:id="311" w:name="SE164"/>
      <w:bookmarkEnd w:id="310"/>
      <w:bookmarkEnd w:id="311"/>
      <w:r>
        <w:rPr>
          <w:rFonts w:ascii="Verdana" w:cs="Times New Roman" w:eastAsia="Times New Roman" w:hAnsi="Verdana"/>
          <w:b/>
          <w:bCs/>
          <w:caps/>
          <w:color w:val="0087AD"/>
          <w:sz w:val="17"/>
          <w:lang w:eastAsia="es-ES"/>
        </w:rPr>
        <w:t>ARTÍCULO 129.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Prestación de servicios de las organizaciones integrantes del órgano específico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entidades que componen el órgano específico facturarán a la FLC, y dentro de los límites marcados por el presupuesto de funcionamiento, los gastos derivados de las personas que desarrollan la actividad del órgano, a los precios de los baremos que se establezcan a estos efectos en los presupuestos aprobados.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ningún caso estas personas formarán parte de la plantilla de la Fundación Laboral de la Construcción y únicamente el órgano podrá disponer de personas que se encuentren en comisión de servicio de la organización que les haya nombrado.</w:t>
      </w:r>
    </w:p>
    <w:p>
      <w:pPr>
        <w:pStyle w:val="style0"/>
        <w:shd w:fill="FFFFFF" w:val="clear"/>
        <w:spacing w:after="28" w:before="28" w:line="300" w:lineRule="atLeast"/>
        <w:jc w:val="both"/>
      </w:pPr>
      <w:bookmarkStart w:id="312" w:name="SE165"/>
      <w:bookmarkEnd w:id="312"/>
      <w:r>
        <w:rPr>
          <w:rFonts w:ascii="Verdana" w:cs="Times New Roman" w:eastAsia="Times New Roman" w:hAnsi="Verdana"/>
          <w:b/>
          <w:bCs/>
          <w:color w:val="0087AD"/>
          <w:sz w:val="21"/>
          <w:lang w:eastAsia="es-ES"/>
        </w:rPr>
        <w:t>CAPÍTULO 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DESARROLLO DE LAS FUNCIONES</w:t>
      </w:r>
    </w:p>
    <w:p>
      <w:pPr>
        <w:pStyle w:val="style0"/>
        <w:shd w:fill="FFFFFF" w:val="clear"/>
        <w:spacing w:after="28" w:before="28" w:line="300" w:lineRule="atLeast"/>
        <w:jc w:val="both"/>
      </w:pPr>
      <w:bookmarkStart w:id="313" w:name="LOC_ART.130"/>
      <w:bookmarkStart w:id="314" w:name="SE166"/>
      <w:bookmarkEnd w:id="313"/>
      <w:bookmarkEnd w:id="314"/>
      <w:r>
        <w:rPr>
          <w:rFonts w:ascii="Verdana" w:cs="Times New Roman" w:eastAsia="Times New Roman" w:hAnsi="Verdana"/>
          <w:b/>
          <w:bCs/>
          <w:caps/>
          <w:color w:val="0087AD"/>
          <w:sz w:val="17"/>
          <w:lang w:eastAsia="es-ES"/>
        </w:rPr>
        <w:t>ARTÍCULO 130.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Seguimiento de la accidentabilidad laboral en el sector y elaboración de estadísticas propias de accidentes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órgano específico desarrollará las actividades que acuerde el Patronato de la FLC encaminadas a estudiar y realizar un seguimiento detallado de los accidentes graves y mortales que se produzcan en su ámbito de actuación.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Estas actividades se centrarán en la elaboración de estadísticas que reflejen la accidentabilidad y los índices de incidencia y que servirán de base para el desarrollo de las funciones del órgano que se recogen en el art. 119 de este Convenio.</w:t>
      </w:r>
    </w:p>
    <w:p>
      <w:pPr>
        <w:pStyle w:val="style0"/>
        <w:shd w:fill="FFFFFF" w:val="clear"/>
        <w:spacing w:after="28" w:before="28" w:line="300" w:lineRule="atLeast"/>
        <w:jc w:val="both"/>
      </w:pPr>
      <w:bookmarkStart w:id="315" w:name="LOC_ART.131"/>
      <w:bookmarkStart w:id="316" w:name="SE167"/>
      <w:bookmarkEnd w:id="315"/>
      <w:bookmarkEnd w:id="316"/>
      <w:r>
        <w:rPr>
          <w:rFonts w:ascii="Verdana" w:cs="Times New Roman" w:eastAsia="Times New Roman" w:hAnsi="Verdana"/>
          <w:b/>
          <w:bCs/>
          <w:caps/>
          <w:color w:val="0087AD"/>
          <w:sz w:val="17"/>
          <w:lang w:eastAsia="es-ES"/>
        </w:rPr>
        <w:t>ARTÍCULO 131.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Organización y control de visitas a obras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el objeto de obtener la información suficiente para la elaboración de estudios acerca de la evolución de la siniestralidad, de prestar un servicio de asesoramiento a las pequeñas empresas y de implantar la cultura de la prevención entre los trabajadores y empresarios, el órgano específico organizará una serie de visitas a obras de conformidad con los siguientes criterios.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visitas a obras se realizarán, previo acuerdo del órgano específico en su correspondiente ámbito, a las empresas o centros de trabajo que no dispongan de servicio de prevención propio.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Las visitas a las obras se realizarán por las personas que designe el órgano específico en su respectivo ámbito, a propuesta de las organizaciones que lo integran, respetando siempre el principio de paridad.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Previamente a la realización de su función, las personas designadas para la visita a las obras recibirán de la FLC la formación específica necesaria, consistente en un curso de 220 horas, salvo que acrediten conocimientos y/o experiencia similar que sea aceptada por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personas designadas para visitar las obras recibirán, previamente, la adecuada acreditación para ello de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 programación de las visitas a obras se realizará por el órgano específico con una antelación mínima de un mes, salvo casos particulares de obras en la que pudieran darse especiales dificultades para el cumplimiento de las normas de prevención de riesgos laborales en lo que se podrá hacer con una antelación mínima de quince días.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Para la realización de la visita se requerirá el consentimiento previo de la empresa a visitar.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De cada una de las visitas a obras se realizará el correspondiente informe, que será entregado al Presidente del respectivo órgano específico en su respectivo ámbito autonómico y a la Dirección de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carácter reservado de toda la información, comprende a las personas designadas para las visitas a las obras, respecto de cualquier persona física o jurídica distinta del propio órgano específico, por lo que deberán guardar sigilo profesional. En ningún caso, y así constará en el informe, podrá éste surtir efectos fuera del ámbito de asesoramiento del propio órgano.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El responsable de la obra firmará el recibo del informe en el que manifestará, en su caso, el consentimiento para la recepción de futuras visitas para estudiar el funcionamiento de las medidas propuestas, caso de haberlas. Estas ulteriores visitas se desarrollarán de conformidad al procedimiento establecido en los párrafos anteriores.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En ningún caso los visitadores deberán interferir en los trabajos y desarrollo de la actividad de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Trimestralmente, el órgano específico autonómico redactará un informe resumen de las actuaciones realizadas en su ámbito durante ese periodo de tiempo que será remitido a su sede central.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11. Anualmente, el órgano específico redactará y presentará a la FLC una Memoria explicativa de las actuaciones realizadas y objetivos y objetivos conseguidos, todos ellos referidos al ámbito estatal, en todos los ámbitos a la FLC para su inclusión en su Memoria anual.</w:t>
      </w:r>
    </w:p>
    <w:p>
      <w:pPr>
        <w:pStyle w:val="style0"/>
        <w:shd w:fill="FFFFFF" w:val="clear"/>
        <w:spacing w:after="28" w:before="28" w:line="300" w:lineRule="atLeast"/>
        <w:jc w:val="both"/>
      </w:pPr>
      <w:bookmarkStart w:id="317" w:name="LOC_ART.132"/>
      <w:bookmarkStart w:id="318" w:name="SE168"/>
      <w:bookmarkEnd w:id="317"/>
      <w:bookmarkEnd w:id="318"/>
      <w:r>
        <w:rPr>
          <w:rFonts w:ascii="Verdana" w:cs="Times New Roman" w:eastAsia="Times New Roman" w:hAnsi="Verdana"/>
          <w:b/>
          <w:bCs/>
          <w:caps/>
          <w:color w:val="0087AD"/>
          <w:sz w:val="17"/>
          <w:lang w:eastAsia="es-ES"/>
        </w:rPr>
        <w:t>ARTÍCULO 132.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Formulación de propuestas de soluciones para la disminución de la accidentabilidad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Sobre la base de las estadísticas y estudios realizados por él mismo, el órgano específico podrá formular propuestas de soluciones tendentes a la disminución de la accidentabilidad. Estas propuestas se elevarán al Patronato de la FLC, que deberá aprobarlas en su caso.</w:t>
      </w:r>
    </w:p>
    <w:p>
      <w:pPr>
        <w:pStyle w:val="style0"/>
        <w:shd w:fill="FFFFFF" w:val="clear"/>
        <w:spacing w:after="28" w:before="28" w:line="300" w:lineRule="atLeast"/>
        <w:jc w:val="both"/>
      </w:pPr>
      <w:bookmarkStart w:id="319" w:name="LOC_ART.133"/>
      <w:bookmarkStart w:id="320" w:name="SE169"/>
      <w:bookmarkEnd w:id="319"/>
      <w:bookmarkEnd w:id="320"/>
      <w:r>
        <w:rPr>
          <w:rFonts w:ascii="Verdana" w:cs="Times New Roman" w:eastAsia="Times New Roman" w:hAnsi="Verdana"/>
          <w:b/>
          <w:bCs/>
          <w:caps/>
          <w:color w:val="0087AD"/>
          <w:sz w:val="17"/>
          <w:lang w:eastAsia="es-ES"/>
        </w:rPr>
        <w:t>ARTÍCULO 133.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Formación itinerante a pie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actividades de formación a pie de obra a realizar por el órgano específico se desarrollarán en la forma que se acuerde por el Patronato de la FLC y que, en su momento, se incluirán en el presente Convenio.</w:t>
      </w:r>
    </w:p>
    <w:p>
      <w:pPr>
        <w:pStyle w:val="style0"/>
        <w:shd w:fill="FFFFFF" w:val="clear"/>
        <w:spacing w:after="28" w:before="28" w:line="300" w:lineRule="atLeast"/>
        <w:jc w:val="both"/>
      </w:pPr>
      <w:bookmarkStart w:id="321" w:name="LOC_ART.134"/>
      <w:bookmarkStart w:id="322" w:name="SE170"/>
      <w:bookmarkEnd w:id="321"/>
      <w:bookmarkEnd w:id="322"/>
      <w:r>
        <w:rPr>
          <w:rFonts w:ascii="Verdana" w:cs="Times New Roman" w:eastAsia="Times New Roman" w:hAnsi="Verdana"/>
          <w:b/>
          <w:bCs/>
          <w:caps/>
          <w:color w:val="0087AD"/>
          <w:sz w:val="17"/>
          <w:lang w:eastAsia="es-ES"/>
        </w:rPr>
        <w:t>ARTÍCULO 134.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Elaboración de informes y estadísticas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elaboración de los informes sobre accidentabilidad laboral y de estadísticas, previstos como funciones propias del órgano en el correspondiente artículo de este Título, se desarrollarán en la forma que se acuerde por el Patronato de la FLC, con la información y datos suministrados por las comisiones autonómicas.</w:t>
      </w:r>
    </w:p>
    <w:p>
      <w:pPr>
        <w:pStyle w:val="style0"/>
        <w:shd w:fill="FFFFFF" w:val="clear"/>
        <w:spacing w:after="28" w:before="28" w:line="300" w:lineRule="atLeast"/>
        <w:jc w:val="both"/>
      </w:pPr>
      <w:bookmarkStart w:id="323" w:name="LOC_TIT.2"/>
      <w:bookmarkStart w:id="324" w:name="SE171"/>
      <w:bookmarkEnd w:id="323"/>
      <w:bookmarkEnd w:id="324"/>
      <w:r>
        <w:rPr>
          <w:rFonts w:ascii="Verdana" w:cs="Times New Roman" w:eastAsia="Times New Roman" w:hAnsi="Verdana"/>
          <w:b/>
          <w:bCs/>
          <w:color w:val="0087AD"/>
          <w:sz w:val="21"/>
          <w:lang w:eastAsia="es-ES"/>
        </w:rPr>
        <w:t>TÍTULO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COMISIÓN PARITARIA SECTORIAL DE SEGURIDAD Y SALUD EN EL TRABAJO</w:t>
      </w:r>
    </w:p>
    <w:p>
      <w:pPr>
        <w:pStyle w:val="style0"/>
        <w:shd w:fill="FFFFFF" w:val="clear"/>
        <w:spacing w:after="28" w:before="28" w:line="300" w:lineRule="atLeast"/>
        <w:jc w:val="both"/>
      </w:pPr>
      <w:bookmarkStart w:id="325" w:name="LOC_ART.135"/>
      <w:bookmarkStart w:id="326" w:name="SE172"/>
      <w:bookmarkEnd w:id="325"/>
      <w:bookmarkEnd w:id="326"/>
      <w:r>
        <w:rPr>
          <w:rFonts w:ascii="Verdana" w:cs="Times New Roman" w:eastAsia="Times New Roman" w:hAnsi="Verdana"/>
          <w:b/>
          <w:bCs/>
          <w:caps/>
          <w:color w:val="0087AD"/>
          <w:sz w:val="17"/>
          <w:lang w:eastAsia="es-ES"/>
        </w:rPr>
        <w:t>ARTÍCULO 135.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Composición y funciones de la Comisión Paritaria Sectorial de Seguridad y Salud en 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Comisión Paritaria Sectorial de Seguridad y Salud en el Trabajo, constituida por un máximo de diez miembros, designados cinco por cada una de las partes, sindical y empresarial, en la forma que decidan las respectivas organizaciones, tiene las siguientes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Recabar del Ministerio de Empleo y Seguridad Social y de los Gobiernos Autónomos el reconocimiento oficial como interlocutor social sectorial en materia de seguridad y salud, tanto en su aspecto legislativo como en el desarrollo de planes y medidas formativas.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Estudiar y acordar los mecanismos oportunos de coordinación de la información provincial en materia de siniestralidad en el sector, que suministrarán las comisiones específicas provinciales o, en su defecto, las comisiones paritarias de los convenios.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Promover cuantas medidas considere tendentes a mejorar la situación del sector en esta materia, teniendo como objetivo fundamental el extender la preocupación por la seguridad y salud a todos los niveles, fomentando campañas de sensibilización mentalización,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Hacer propuestas acerca de las normas de ejecución y de los criterios de expedición de la Tarjeta Profesional de la Construcción a la FLC, así como respecto de los criterios de acreditación, convalidación y registro de los cursos impartidos; igualmente proponer la incorporación de otras materias a la tarjeta, como por ejemplo los reconocimientos médicos previos, periódicos y específicos a que son sometidos los trabajadores con alta rotación, para evitar la repetición de los mismos por cambio de empresa en períodos inferiores a un año.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Acometer las gestiones necesarias para obtener los medios que le permitan desarrollar sus funciones con la eficacia adecuada.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Cuantas otras funciones acuerde la propia Comisión atribuirse encaminadas al mejor cumplimiento de sus fines.</w:t>
      </w:r>
    </w:p>
    <w:p>
      <w:pPr>
        <w:pStyle w:val="style0"/>
        <w:shd w:fill="FFFFFF" w:val="clear"/>
        <w:spacing w:after="28" w:before="28" w:line="300" w:lineRule="atLeast"/>
        <w:jc w:val="both"/>
      </w:pPr>
      <w:bookmarkStart w:id="327" w:name="LOC_TIT.3"/>
      <w:bookmarkStart w:id="328" w:name="SE173"/>
      <w:bookmarkEnd w:id="327"/>
      <w:bookmarkEnd w:id="328"/>
      <w:r>
        <w:rPr>
          <w:rFonts w:ascii="Verdana" w:cs="Times New Roman" w:eastAsia="Times New Roman" w:hAnsi="Verdana"/>
          <w:b/>
          <w:bCs/>
          <w:color w:val="0087AD"/>
          <w:sz w:val="21"/>
          <w:lang w:eastAsia="es-ES"/>
        </w:rPr>
        <w:t>TÍTULO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INFORMACIÓN Y FORMACIÓN EN SEGURIDAD Y SALUD</w:t>
      </w:r>
    </w:p>
    <w:p>
      <w:pPr>
        <w:pStyle w:val="style0"/>
        <w:shd w:fill="FFFFFF" w:val="clear"/>
        <w:spacing w:after="28" w:before="28" w:line="300" w:lineRule="atLeast"/>
        <w:jc w:val="both"/>
      </w:pPr>
      <w:bookmarkStart w:id="329" w:name="SE174"/>
      <w:bookmarkEnd w:id="329"/>
      <w:r>
        <w:rPr>
          <w:rFonts w:ascii="Verdana" w:cs="Times New Roman" w:eastAsia="Times New Roman" w:hAnsi="Verdana"/>
          <w:b/>
          <w:bCs/>
          <w:color w:val="0087AD"/>
          <w:sz w:val="21"/>
          <w:lang w:eastAsia="es-ES"/>
        </w:rPr>
        <w:t>CAPÍTULO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bookmarkStart w:id="330" w:name="LOC_ART.136"/>
      <w:bookmarkStart w:id="331" w:name="SE175"/>
      <w:bookmarkEnd w:id="330"/>
      <w:bookmarkEnd w:id="331"/>
      <w:r>
        <w:rPr>
          <w:rFonts w:ascii="Verdana" w:cs="Times New Roman" w:eastAsia="Times New Roman" w:hAnsi="Verdana"/>
          <w:b/>
          <w:bCs/>
          <w:caps/>
          <w:color w:val="0087AD"/>
          <w:sz w:val="17"/>
          <w:lang w:eastAsia="es-ES"/>
        </w:rPr>
        <w:t>ARTÍCULO 136.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Principios generales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medios, procedimientos, materiales y acciones que se empleen y desarrollen en la FLC en materia seguridad y salud se dedicarán a difundir, coordinar y colaborar en métodos y procesos que faciliten el mejor y mayor cumplimiento de las Leyes y sus reglamentos por los empresarios y trabajadores del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acciones y actuaciones a realizar en relación con los contenidos de la Ley 31/1995, de 8 de noviembre, de Prevención de riesgos laborales en el sector de la construcción y la Ley 32/2006, de 18 de octubre, Reguladora de la subcontratación en el sector de la construcción, tienen que ser análogas, homogéneas y coordinadas en todo el territorio nacional. A la FLC le corresponde ser el hilo conductor de los principios y directrices a desarrollar en los programas formativos y contenidos específicos de carácter sectorial y para los trabajos de cada especialidad, a fin de que de forma equivalente se establezcan los mismos niveles de aplicación y cumplimiento en cada uno de los Consejos Territoriales.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Dadas las condiciones en que se encuentra el sector por sus específicas características, la FLC se debe dotar de los instrumentos adecuados para que, cumpliéndose los contenidos de la normativa vigente, se consiga la disminución continua de los índices de siniestralidad.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Las acciones a elaborar estarán dirigidas prioritariamente al empresario, por ser la figura fundamental en la implantación del sistema de gestión de la prevención y en la formación e información de los trabajadores.</w:t>
      </w:r>
    </w:p>
    <w:p>
      <w:pPr>
        <w:pStyle w:val="style0"/>
        <w:shd w:fill="FFFFFF" w:val="clear"/>
        <w:spacing w:after="28" w:before="28" w:line="300" w:lineRule="atLeast"/>
        <w:jc w:val="both"/>
      </w:pPr>
      <w:bookmarkStart w:id="332" w:name="SE176"/>
      <w:bookmarkEnd w:id="332"/>
      <w:r>
        <w:rPr>
          <w:rFonts w:ascii="Verdana" w:cs="Times New Roman" w:eastAsia="Times New Roman" w:hAnsi="Verdana"/>
          <w:b/>
          <w:bCs/>
          <w:color w:val="0087AD"/>
          <w:sz w:val="21"/>
          <w:lang w:eastAsia="es-ES"/>
        </w:rPr>
        <w:t>CAPÍTULO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INFORMACIÓN</w:t>
      </w:r>
    </w:p>
    <w:p>
      <w:pPr>
        <w:pStyle w:val="style0"/>
        <w:shd w:fill="FFFFFF" w:val="clear"/>
        <w:spacing w:after="28" w:before="28" w:line="300" w:lineRule="atLeast"/>
        <w:jc w:val="both"/>
      </w:pPr>
      <w:bookmarkStart w:id="333" w:name="LOC_ART.137"/>
      <w:bookmarkStart w:id="334" w:name="SE177"/>
      <w:bookmarkEnd w:id="333"/>
      <w:bookmarkEnd w:id="334"/>
      <w:r>
        <w:rPr>
          <w:rFonts w:ascii="Verdana" w:cs="Times New Roman" w:eastAsia="Times New Roman" w:hAnsi="Verdana"/>
          <w:b/>
          <w:bCs/>
          <w:caps/>
          <w:color w:val="0087AD"/>
          <w:sz w:val="17"/>
          <w:lang w:eastAsia="es-ES"/>
        </w:rPr>
        <w:t>ARTÍCULO 137.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Información sectorial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accidentabilidad en el sector de la construcción, que es motivo de una constante preocupación de todas las partes, hace necesario que la FLC desarrolle una actividad de información en los términos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Necesidad del cumplimiento de las normas en materia de prevención de riesgos laborales.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Incidir en las actividades cuyos trabajos puedan ser de alto riesgo.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Elaboración de un programa de estadísticas para el sector con el fin de proporcionar los datos de accidentabilidad y poder determinar las acciones a aplicar.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Actividades de la FLC, control de resultados parciales y grado de cumplimiento de los objetivos.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A la vista de las anteriores campañas de información, se realizará un estudio por expertos respecto a la estrategia a emplear para fomentar una comunicación efectiva; en función de este trabajo se llevarán a cabo el diseño y la realización de planes y métodos de información que garanticen la captación y asimilación de los mensajes así como la evolución y control de resultados.</w:t>
      </w:r>
    </w:p>
    <w:p>
      <w:pPr>
        <w:pStyle w:val="style0"/>
        <w:shd w:fill="FFFFFF" w:val="clear"/>
        <w:spacing w:after="28" w:before="28" w:line="300" w:lineRule="atLeast"/>
        <w:jc w:val="both"/>
      </w:pPr>
      <w:bookmarkStart w:id="335" w:name="SE178"/>
      <w:bookmarkEnd w:id="335"/>
      <w:r>
        <w:rPr>
          <w:rFonts w:ascii="Verdana" w:cs="Times New Roman" w:eastAsia="Times New Roman" w:hAnsi="Verdana"/>
          <w:b/>
          <w:bCs/>
          <w:color w:val="0087AD"/>
          <w:sz w:val="21"/>
          <w:lang w:eastAsia="es-ES"/>
        </w:rPr>
        <w:t>CAPÍTULO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FORMACIÓN</w:t>
      </w:r>
    </w:p>
    <w:p>
      <w:pPr>
        <w:pStyle w:val="style0"/>
        <w:shd w:fill="FFFFFF" w:val="clear"/>
        <w:spacing w:after="28" w:before="28" w:line="300" w:lineRule="atLeast"/>
        <w:jc w:val="both"/>
      </w:pPr>
      <w:bookmarkStart w:id="336" w:name="SE179"/>
      <w:bookmarkEnd w:id="336"/>
      <w:r>
        <w:rPr>
          <w:rFonts w:ascii="Verdana" w:cs="Times New Roman" w:eastAsia="Times New Roman" w:hAnsi="Verdana"/>
          <w:b/>
          <w:bCs/>
          <w:color w:val="0087AD"/>
          <w:sz w:val="21"/>
          <w:lang w:eastAsia="es-ES"/>
        </w:rPr>
        <w:t>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bookmarkStart w:id="337" w:name="LOC_ART.138"/>
      <w:bookmarkStart w:id="338" w:name="SE180"/>
      <w:bookmarkEnd w:id="337"/>
      <w:bookmarkEnd w:id="338"/>
      <w:r>
        <w:rPr>
          <w:rFonts w:ascii="Verdana" w:cs="Times New Roman" w:eastAsia="Times New Roman" w:hAnsi="Verdana"/>
          <w:b/>
          <w:bCs/>
          <w:caps/>
          <w:color w:val="0087AD"/>
          <w:sz w:val="17"/>
          <w:lang w:eastAsia="es-ES"/>
        </w:rPr>
        <w:t>ARTÍCULO 138.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Ciclos de formación de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ciclos de formación de la FLC constarán de dos tipos de acciones en materia de prevención de riesgos en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El primer ciclo, denominado «Aula Permanente», comprenderá formación inicial sobre los riesgos del sector y contendrán los principios básicos y conceptos generales sobre la materia; igualmente deberán conseguir una actitud de interés por la seguridad y salud que incentive al alumnado para iniciar los cursos de segundo ciclo. Esta formación inicial impartida en el primer ciclo no exime al empresario de su obligación de informar al trabajador de los riesgos específicos en el centro y en el puesto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El segundo ciclo deberá transmitir además de la formación inicial, conocimientos y normas específicas en relación con el puesto de trabajo o el oficio.</w:t>
      </w:r>
    </w:p>
    <w:p>
      <w:pPr>
        <w:pStyle w:val="style0"/>
        <w:shd w:fill="FFFFFF" w:val="clear"/>
        <w:spacing w:after="28" w:before="28" w:line="300" w:lineRule="atLeast"/>
        <w:jc w:val="both"/>
      </w:pPr>
      <w:bookmarkStart w:id="339" w:name="LOC_ART.139"/>
      <w:bookmarkStart w:id="340" w:name="SE181"/>
      <w:bookmarkEnd w:id="339"/>
      <w:bookmarkEnd w:id="340"/>
      <w:r>
        <w:rPr>
          <w:rFonts w:ascii="Verdana" w:cs="Times New Roman" w:eastAsia="Times New Roman" w:hAnsi="Verdana"/>
          <w:b/>
          <w:bCs/>
          <w:caps/>
          <w:color w:val="0087AD"/>
          <w:sz w:val="17"/>
          <w:lang w:eastAsia="es-ES"/>
        </w:rPr>
        <w:t>ARTÍCULO 139.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Primer ciclo de formación: Aula Permanente de la FLC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primer ciclo de formación en prevención de riesgos laborales del sector de la construcción, denominado «Aula Permanente», es la acción formativa inicial mínima en materia de prevención de riesgos laborales específica del sector de la construcción cuyo objetivo principal es conseguir que los trabajadores adquieran los conocimientos necesarios para identificar tanto los riesgos laborales más frecuentes que se producen en las distintas fases de ejecución de una obra, como las medidas preventivas a implantar a fin de eliminar o minimizar dichos riesgos.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métodos y contenidos de las materias impartidas en las «Aulas Permanentes» han de ser similares y homogéneos, los objetivos análogos y los resultados equivalentes, en todos los Consejos Territoriales de la FLC.</w:t>
      </w:r>
    </w:p>
    <w:p>
      <w:pPr>
        <w:pStyle w:val="style0"/>
        <w:shd w:fill="FFFFFF" w:val="clear"/>
        <w:spacing w:after="28" w:before="28" w:line="300" w:lineRule="atLeast"/>
        <w:jc w:val="both"/>
      </w:pPr>
      <w:bookmarkStart w:id="341" w:name="LOC_ART.140"/>
      <w:bookmarkStart w:id="342" w:name="SE182"/>
      <w:bookmarkEnd w:id="341"/>
      <w:bookmarkEnd w:id="342"/>
      <w:r>
        <w:rPr>
          <w:rFonts w:ascii="Verdana" w:cs="Times New Roman" w:eastAsia="Times New Roman" w:hAnsi="Verdana"/>
          <w:b/>
          <w:bCs/>
          <w:caps/>
          <w:color w:val="0087AD"/>
          <w:sz w:val="17"/>
          <w:lang w:eastAsia="es-ES"/>
        </w:rPr>
        <w:t>ARTÍCULO 140.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Segundo ciclo de formación en prevención de riesgos laborales del sector de la construcción: formación por puesto de trabajo o por oficios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segundo ciclo de formación en prevención de riesgos laborales del sector de la construcción se configura por puesto de trabajo o por oficios.</w:t>
      </w:r>
    </w:p>
    <w:p>
      <w:pPr>
        <w:pStyle w:val="style0"/>
        <w:shd w:fill="FFFFFF" w:val="clear"/>
        <w:spacing w:after="28" w:before="28" w:line="300" w:lineRule="atLeast"/>
        <w:jc w:val="both"/>
      </w:pPr>
      <w:bookmarkStart w:id="343" w:name="LOC_ART.141"/>
      <w:bookmarkStart w:id="344" w:name="SE183"/>
      <w:bookmarkEnd w:id="343"/>
      <w:bookmarkEnd w:id="344"/>
      <w:r>
        <w:rPr>
          <w:rFonts w:ascii="Verdana" w:cs="Times New Roman" w:eastAsia="Times New Roman" w:hAnsi="Verdana"/>
          <w:b/>
          <w:bCs/>
          <w:caps/>
          <w:color w:val="0087AD"/>
          <w:sz w:val="17"/>
          <w:lang w:eastAsia="es-ES"/>
        </w:rPr>
        <w:t>ARTÍCULO 141.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Coordinación y homogeneización de la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FLC debe homogeneizar en todo el territorio nacional los planes y contenidos de la formación que imparta en materia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Excepcionalmente, en el caso de situaciones de obras y centros con características específicas, previa consulta, coordinación y colaboración de la FLC estatal, se podrán elaborar actividades y contenidos complementarios para la formación en esa materia.</w:t>
      </w:r>
    </w:p>
    <w:p>
      <w:pPr>
        <w:pStyle w:val="style0"/>
        <w:shd w:fill="FFFFFF" w:val="clear"/>
        <w:spacing w:after="28" w:before="28" w:line="300" w:lineRule="atLeast"/>
        <w:jc w:val="both"/>
      </w:pPr>
      <w:bookmarkStart w:id="345" w:name="LOC_ART.142"/>
      <w:bookmarkStart w:id="346" w:name="SE184"/>
      <w:bookmarkEnd w:id="345"/>
      <w:bookmarkEnd w:id="346"/>
      <w:r>
        <w:rPr>
          <w:rFonts w:ascii="Verdana" w:cs="Times New Roman" w:eastAsia="Times New Roman" w:hAnsi="Verdana"/>
          <w:b/>
          <w:bCs/>
          <w:caps/>
          <w:color w:val="0087AD"/>
          <w:sz w:val="17"/>
          <w:lang w:eastAsia="es-ES"/>
        </w:rPr>
        <w:t>ARTÍCULO 142.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Aulas móviles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estima que un procedimiento conveniente para informar en las propias obras sobre las materias de prevención de riesgos consiste en disponer de Aulas Móviles en las que estarán incorporados todos los materiales, equipos audiovisuales y demás elementos didácticos.</w:t>
      </w:r>
    </w:p>
    <w:p>
      <w:pPr>
        <w:pStyle w:val="style0"/>
        <w:shd w:fill="FFFFFF" w:val="clear"/>
        <w:spacing w:after="28" w:before="28" w:line="300" w:lineRule="atLeast"/>
        <w:jc w:val="both"/>
      </w:pPr>
      <w:bookmarkStart w:id="347" w:name="SE185"/>
      <w:bookmarkEnd w:id="347"/>
      <w:r>
        <w:rPr>
          <w:rFonts w:ascii="Verdana" w:cs="Times New Roman" w:eastAsia="Times New Roman" w:hAnsi="Verdana"/>
          <w:b/>
          <w:bCs/>
          <w:color w:val="0087AD"/>
          <w:sz w:val="21"/>
          <w:lang w:eastAsia="es-ES"/>
        </w:rPr>
        <w:t>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Primer Ciclo de Formación: Aula Permanente o nivel inicial</w:t>
      </w:r>
    </w:p>
    <w:p>
      <w:pPr>
        <w:pStyle w:val="style0"/>
        <w:shd w:fill="FFFFFF" w:val="clear"/>
        <w:spacing w:after="28" w:before="28" w:line="300" w:lineRule="atLeast"/>
        <w:jc w:val="both"/>
      </w:pPr>
      <w:bookmarkStart w:id="348" w:name="LOC_ART.143"/>
      <w:bookmarkStart w:id="349" w:name="SE186"/>
      <w:bookmarkEnd w:id="348"/>
      <w:bookmarkEnd w:id="349"/>
      <w:r>
        <w:rPr>
          <w:rFonts w:ascii="Verdana" w:cs="Times New Roman" w:eastAsia="Times New Roman" w:hAnsi="Verdana"/>
          <w:b/>
          <w:bCs/>
          <w:caps/>
          <w:color w:val="0087AD"/>
          <w:sz w:val="17"/>
          <w:lang w:eastAsia="es-ES"/>
        </w:rPr>
        <w:t>ARTÍCULO 143.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Aula Permanente o nivel inicial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el «Aula Permanente», cuyo módulo tendrá una duración de ocho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Conceptos básicos sobre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El trabajo y la salud. Los riesgos profesionales. Factores de riesgo.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básico en materia de prevención de riesgos laborales. Deberes y obligaciones básicas en esta materia.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elementales sobre riesgos genéricos.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Caídas a distinto nivel, manipulación de cargas, medios de protección colectiva, equipos de protección individual,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Medios auxiliares (andamios colgados, modulares, borriquetas,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de trabajo (aparatos elevadores, pequeña maquinaria,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Simbología de los productos y materiales utilizados en las obras de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Primeros auxilios y medidas de emergencia.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Procedimientos generales.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 de actuación.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50" w:name="SE187"/>
      <w:bookmarkEnd w:id="350"/>
      <w:r>
        <w:rPr>
          <w:rFonts w:ascii="Verdana" w:cs="Times New Roman" w:eastAsia="Times New Roman" w:hAnsi="Verdana"/>
          <w:b/>
          <w:bCs/>
          <w:color w:val="0087AD"/>
          <w:sz w:val="21"/>
          <w:lang w:eastAsia="es-ES"/>
        </w:rPr>
        <w:t>SECCIÓN TERCERA.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Segundo Ciclo de Formación: contenidos formativos en función del puesto de trabajo o por oficios</w:t>
      </w:r>
    </w:p>
    <w:p>
      <w:pPr>
        <w:pStyle w:val="style0"/>
        <w:shd w:fill="FFFFFF" w:val="clear"/>
        <w:spacing w:after="28" w:before="28" w:line="300" w:lineRule="atLeast"/>
        <w:jc w:val="both"/>
      </w:pPr>
      <w:bookmarkStart w:id="351" w:name="LOC_SSC.1"/>
      <w:bookmarkStart w:id="352" w:name="SE188"/>
      <w:bookmarkEnd w:id="351"/>
      <w:bookmarkEnd w:id="352"/>
      <w:r>
        <w:rPr>
          <w:rFonts w:ascii="Verdana" w:cs="Times New Roman" w:eastAsia="Times New Roman" w:hAnsi="Verdana"/>
          <w:b/>
          <w:bCs/>
          <w:color w:val="0087AD"/>
          <w:sz w:val="21"/>
          <w:lang w:eastAsia="es-ES"/>
        </w:rPr>
        <w:t>Subsección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bookmarkStart w:id="353" w:name="LOC_ART.144"/>
      <w:bookmarkStart w:id="354" w:name="SE189"/>
      <w:bookmarkEnd w:id="353"/>
      <w:bookmarkEnd w:id="354"/>
      <w:r>
        <w:rPr>
          <w:rFonts w:ascii="Verdana" w:cs="Times New Roman" w:eastAsia="Times New Roman" w:hAnsi="Verdana"/>
          <w:b/>
          <w:bCs/>
          <w:caps/>
          <w:color w:val="0087AD"/>
          <w:sz w:val="17"/>
          <w:lang w:eastAsia="es-ES"/>
        </w:rPr>
        <w:t>ARTÍCULO 144.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 acerca del segundo ciclo de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determinan a continuación los programas formativos y contenidos específicos para los trabajos de cada puesto o función de aquellos cursos que, como consecuencia de lo previsto en el art. 10.2 de la Ley 32/2006, de 18 de octubre, Reguladora de la subcontratación en el sector de la construcción, que podrán ser impartidos por las empresas o por la FLC, bien directamente o a través de centros de formación previamente homologados.</w:t>
      </w:r>
    </w:p>
    <w:p>
      <w:pPr>
        <w:pStyle w:val="style0"/>
        <w:shd w:fill="FFFFFF" w:val="clear"/>
        <w:spacing w:after="28" w:before="28" w:line="300" w:lineRule="atLeast"/>
        <w:jc w:val="both"/>
      </w:pPr>
      <w:bookmarkStart w:id="355" w:name="LOC_SSC.2"/>
      <w:bookmarkStart w:id="356" w:name="SE190"/>
      <w:bookmarkEnd w:id="355"/>
      <w:bookmarkEnd w:id="356"/>
      <w:r>
        <w:rPr>
          <w:rFonts w:ascii="Verdana" w:cs="Times New Roman" w:eastAsia="Times New Roman" w:hAnsi="Verdana"/>
          <w:b/>
          <w:bCs/>
          <w:color w:val="0087AD"/>
          <w:sz w:val="21"/>
          <w:lang w:eastAsia="es-ES"/>
        </w:rPr>
        <w:t>Subsección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Contenidos formativos por puesto de trabajo</w:t>
      </w:r>
    </w:p>
    <w:p>
      <w:pPr>
        <w:pStyle w:val="style0"/>
        <w:shd w:fill="FFFFFF" w:val="clear"/>
        <w:spacing w:after="28" w:before="28" w:line="300" w:lineRule="atLeast"/>
        <w:jc w:val="both"/>
      </w:pPr>
      <w:bookmarkStart w:id="357" w:name="LOC_ART.145"/>
      <w:bookmarkStart w:id="358" w:name="SE191"/>
      <w:bookmarkEnd w:id="357"/>
      <w:bookmarkEnd w:id="358"/>
      <w:r>
        <w:rPr>
          <w:rFonts w:ascii="Verdana" w:cs="Times New Roman" w:eastAsia="Times New Roman" w:hAnsi="Verdana"/>
          <w:b/>
          <w:bCs/>
          <w:caps/>
          <w:color w:val="0087AD"/>
          <w:sz w:val="17"/>
          <w:lang w:eastAsia="es-ES"/>
        </w:rPr>
        <w:t>ARTÍCULO 145.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personal directivo de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compromiso en materia preventiva de los responsables de la empresa se considera imprescindible para que la estructura jerárquica tenga presente la seguridad y salud en todos los aspectos que se suscitan durante la ejecución de una obra, ya que sin su implicación se hace imposible conseguir la cultura preventiva pretendida dentro de la empresa. Así pues, se requiere una formación en materia preventiva de esta figura en la estructura empresarial.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contenido formativo para gerentes de empresa, cuyo módulo tendrá una duración mínima de diez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Integración de la prevención en la gestión de la empresa.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La seguridad del producto.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El manual (política, procedimientos, planes,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Integración con los diferentes sistemas (calidad y medio ambiente). Gestión total.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Las auditorías internas.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Obligaciones y responsabilidades.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Funciones, obligaciones y responsabilidades.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Organización y planificación.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 de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Evaluación de riesgos.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Planificación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Sistemas de control sobre los riesgos existentes.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Modalidades preventivas.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Costes de la accidentabilidad y rentabilidad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Los costes de los accidentes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Métodos de cálculo de los costes de los accidentes.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Legislación y normativa básica en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Introducción al ámbito jurídico.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Legislación básica y de desarrollo.</w:t>
      </w:r>
    </w:p>
    <w:p>
      <w:pPr>
        <w:pStyle w:val="style0"/>
        <w:shd w:fill="FFFFFF" w:val="clear"/>
        <w:spacing w:after="28" w:before="28" w:line="300" w:lineRule="atLeast"/>
        <w:jc w:val="both"/>
      </w:pPr>
      <w:bookmarkStart w:id="359" w:name="LOC_ART.146"/>
      <w:bookmarkStart w:id="360" w:name="SE192"/>
      <w:bookmarkEnd w:id="359"/>
      <w:bookmarkEnd w:id="360"/>
      <w:r>
        <w:rPr>
          <w:rFonts w:ascii="Verdana" w:cs="Times New Roman" w:eastAsia="Times New Roman" w:hAnsi="Verdana"/>
          <w:b/>
          <w:bCs/>
          <w:caps/>
          <w:color w:val="0087AD"/>
          <w:sz w:val="17"/>
          <w:lang w:eastAsia="es-ES"/>
        </w:rPr>
        <w:t>ARTÍCULO 146.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responsables de obra y técnicos de ejecución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Respecto de los responsables de obra, al poder impartir órdenes, se hace imprescindible que tengan los conocimientos preventivos con gran claridad. Su formación en materia preventiva es ineludible para que la cadena de comunicación de las órdenes de trabajo, desde el punto de vista preventivo, no sufra en el origen una distorsión que influyan negativamente en los procesos sucesivos.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contenido formativo para responsables de obra y técnicos de ejecución,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Prevención de riesgos. Los cinco bloques de riesgos en obras.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Análisis de los riesgos y de las protecciones más usuales en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Seguridad, higiene, ergonomía, medicina, psicosociología y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Estudios y planes de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Contenidos exigibles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Documentos de obra: libro de incidencias, certificados exigibles, otros documentos.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Calendarios y fases de actuaciones preventivas.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Detección del riesgo.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Análisis estadísticos de accidentes, índices estadísticos.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Análisis de las protecciones más usuales en la edificación (redes, barandillas, medios auxiliares,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Modalidades preventivas (servicio de prevención propio, mancomunado, ajeno, trabajador designado).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Órganos y figuras participativas.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Inspecciones de seguridad.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Coordinador en materia de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Trabajador designado.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Delegado de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Investigación de accidentes y notificaciones a la autoridad laboral competente.</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Administraciones autonómicas.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Competencias, obligaciones y responsabilidades de cada uno de los anteriores.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 de los trabajadores.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Comité de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La importancia de la formación e información de los trabajadores.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Legislación y normativa básica de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Introducción al ámbito jurídico.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Legislación básica y de desarrollo.</w:t>
      </w:r>
    </w:p>
    <w:p>
      <w:pPr>
        <w:pStyle w:val="style0"/>
        <w:shd w:fill="FFFFFF" w:val="clear"/>
        <w:spacing w:after="28" w:before="28" w:line="300" w:lineRule="atLeast"/>
        <w:jc w:val="both"/>
      </w:pPr>
      <w:bookmarkStart w:id="361" w:name="LOC_ART.147"/>
      <w:bookmarkStart w:id="362" w:name="SE193"/>
      <w:bookmarkEnd w:id="361"/>
      <w:bookmarkEnd w:id="362"/>
      <w:r>
        <w:rPr>
          <w:rFonts w:ascii="Verdana" w:cs="Times New Roman" w:eastAsia="Times New Roman" w:hAnsi="Verdana"/>
          <w:b/>
          <w:bCs/>
          <w:caps/>
          <w:color w:val="0087AD"/>
          <w:sz w:val="17"/>
          <w:lang w:eastAsia="es-ES"/>
        </w:rPr>
        <w:t>ARTÍCULO 147.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mandos intermedios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comunicación entre los técnicos de ejecución y los trabajadores pasa, por regla general, por los mandos intermedios. Es por tanto muy importante que éstos tengan los conocimientos preventivos suficientes que permitan que esta transmisión de órdenes se realice sin olvidar los aspectos de seguridad y salud a tener en cuenta en cada unidad de obra a ejecutar, y que a su vez posean las nociones pedagógicas y didácticas suficientes que permitan la claridad de las comunicaciones.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contenido formativo para mandos intermedios,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Integración de la prevención en la producción.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Los riesgos en las diferentes fases de la obra.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Evaluación y tratamiento. Organización de la prevención.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cinco bloques de riesgos. Órdenes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Comunicación de las órdenes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Detección y evaluación básica de riesgos.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Tipología de riesgos. Técnicas preventivas.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en la construcción.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Análisis de las protecciones más usuales en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Plan de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Contenidos exigibles del plan de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Documentos de obra (libro de incidencias, documentos exigibles,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Zonas de riesgos graves y con peligrosidad específica.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específicos (demoliciones, excavaciones, estructura, albañilería,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Coordinación de las subcontratas.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Planificación.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Primeros auxilios y medidas de emergencia.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Conocimientos básicos, objetivos y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Órganos y figuras participativas.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Inspecciones de seguridad.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Coordinador en materia de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Trabajador designado.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Delegado de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Investigación de accidentes y notificaciones a la autoridad laboral competente.</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Administraciones autonómicas.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Competencias, obligaciones y responsabilidades de cada uno de ellos.</w:t>
      </w:r>
    </w:p>
    <w:p>
      <w:pPr>
        <w:pStyle w:val="style0"/>
        <w:shd w:fill="FFFFFF" w:val="clear"/>
        <w:spacing w:after="28" w:before="28" w:line="300" w:lineRule="atLeast"/>
        <w:jc w:val="both"/>
      </w:pPr>
      <w:bookmarkStart w:id="363" w:name="LOC_ART.148"/>
      <w:bookmarkStart w:id="364" w:name="SE194"/>
      <w:bookmarkEnd w:id="363"/>
      <w:bookmarkEnd w:id="364"/>
      <w:r>
        <w:rPr>
          <w:rFonts w:ascii="Verdana" w:cs="Times New Roman" w:eastAsia="Times New Roman" w:hAnsi="Verdana"/>
          <w:b/>
          <w:bCs/>
          <w:caps/>
          <w:color w:val="0087AD"/>
          <w:sz w:val="17"/>
          <w:lang w:eastAsia="es-ES"/>
        </w:rPr>
        <w:t>ARTÍCULO 148.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delegados de prevención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contenido formativo deberá ser concordante con el mandato del art. 37.2 y las facultades del art. 36.2, ambos de la Ley 31/1995, de 8 de noviembre, de Prevención de riesgos laborales.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contenido formativo para delegados de prevención, cuyo módulo tendrá una duración mínima de setenta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Trabajo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Relación entre trabajo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Conceptos básicos.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Trabajo y medio ambiente.</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Conceptos básicos de medio ambiente.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Fundamentos de la acción preventiva.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conceptual y jurídico de la seguridad y salud laboral.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Derechos y obligaciones en el marco de la Ley de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Consulta y participación de los trabajadores. Los delegados de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Factores de riesgo.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Técnicas preventivas.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Organización y gestión de la prevención en la empresa.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La planificación de la prevención de riesgos laborales en la empresa.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Gestión y 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Instituciones y organismos en el campo de la seguridad y la salud laboral.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Responsabilidades y sanciones.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Capacidad de intervención de los delegados de prevención.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Formación específica en función del área de actividad.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Introducción al sector: características, siniestralidad y riesgos más frecuentes.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Desarrollo de temas específicos dependiendo del área de actividad dentro del sector de la construcción.</w:t>
      </w:r>
    </w:p>
    <w:p>
      <w:pPr>
        <w:pStyle w:val="style0"/>
        <w:shd w:fill="FFFFFF" w:val="clear"/>
        <w:spacing w:after="28" w:before="28" w:line="300" w:lineRule="atLeast"/>
        <w:jc w:val="both"/>
      </w:pPr>
      <w:bookmarkStart w:id="365" w:name="LOC_ART.149"/>
      <w:bookmarkStart w:id="366" w:name="SE195"/>
      <w:bookmarkEnd w:id="365"/>
      <w:bookmarkEnd w:id="366"/>
      <w:r>
        <w:rPr>
          <w:rFonts w:ascii="Verdana" w:cs="Times New Roman" w:eastAsia="Times New Roman" w:hAnsi="Verdana"/>
          <w:b/>
          <w:bCs/>
          <w:caps/>
          <w:color w:val="0087AD"/>
          <w:sz w:val="17"/>
          <w:lang w:eastAsia="es-ES"/>
        </w:rPr>
        <w:t>ARTÍCULO 149.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administrativos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movilidad de los trabajadores en las obras de construcción requiere un control sistemático y constante del personal que accede a las mismas. Esta tarea recae generalmente en los administrativos de obra, por lo que se hace muy necesaria la formación de éstos en materia preventiva con el fin de tener un control del personal que en cada momento se encuentra en el centro de trabajo y conocer los requisitos que en esta materia deben cumplir las diferentes empresas que participan en la ejecución de una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contenido formativo para administrativos,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Labor del secretario del comité de seguridad y salud u otros órganos conjuntos de coordinación.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documental. Sus procedimientos.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Control documental (aviso previo, apertura de centro de trabajo, documentación a aportar por los subcontratistas, seguimiento de la vigilancia de la salud,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Conocimientos básicos sobre los medios de protección colectiva y los equipos de protección individual.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Pantallas de visualización.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Medidas de emergencia. Conocimientos básicos.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Primeros auxilios, mantenimiento de botiquín,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Mobiliario adecuado frente a los riesgos posturales y ergonómicos,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Observar y conocer los riesgos y las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iluminación, ambiente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Documentación necesaria y mantenimiento del panel informativo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Técnicas de comunicación.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Técnicas de trabajo en equipo.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Análisis de problemas y toma de decisiones.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Divulgación y participación.</w:t>
      </w:r>
    </w:p>
    <w:p>
      <w:pPr>
        <w:pStyle w:val="style0"/>
        <w:shd w:fill="FFFFFF" w:val="clear"/>
        <w:spacing w:after="28" w:before="28" w:line="300" w:lineRule="atLeast"/>
        <w:jc w:val="both"/>
      </w:pPr>
      <w:bookmarkStart w:id="367" w:name="LOC_SSC.3"/>
      <w:bookmarkStart w:id="368" w:name="SE196"/>
      <w:bookmarkEnd w:id="367"/>
      <w:bookmarkEnd w:id="368"/>
      <w:r>
        <w:rPr>
          <w:rFonts w:ascii="Verdana" w:cs="Times New Roman" w:eastAsia="Times New Roman" w:hAnsi="Verdana"/>
          <w:b/>
          <w:bCs/>
          <w:color w:val="0087AD"/>
          <w:sz w:val="21"/>
          <w:lang w:eastAsia="es-ES"/>
        </w:rPr>
        <w:t>Subsección Tercera.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Contenidos formativos en función del nivel específico por oficio</w:t>
      </w:r>
    </w:p>
    <w:p>
      <w:pPr>
        <w:pStyle w:val="style0"/>
        <w:shd w:fill="FFFFFF" w:val="clear"/>
        <w:spacing w:after="28" w:before="28" w:line="300" w:lineRule="atLeast"/>
        <w:jc w:val="both"/>
      </w:pPr>
      <w:bookmarkStart w:id="369" w:name="LOC_ART.150"/>
      <w:bookmarkStart w:id="370" w:name="SE197"/>
      <w:bookmarkEnd w:id="369"/>
      <w:bookmarkEnd w:id="370"/>
      <w:r>
        <w:rPr>
          <w:rFonts w:ascii="Verdana" w:cs="Times New Roman" w:eastAsia="Times New Roman" w:hAnsi="Verdana"/>
          <w:b/>
          <w:bCs/>
          <w:caps/>
          <w:color w:val="0087AD"/>
          <w:sz w:val="17"/>
          <w:lang w:eastAsia="es-ES"/>
        </w:rPr>
        <w:t>ARTÍCULO 150.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albañilería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albañilería,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Fachadas (fábrica de ladrillo y revestimiento de cemento).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Distribución interior.</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Materiales (cerámicos, cartón-yeso, escayola,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y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y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Andamios.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Borriquetas.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Plataformas de trabajo, pasarelas,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Duración del módulo: veinte horas.</w:t>
      </w:r>
    </w:p>
    <w:p>
      <w:pPr>
        <w:pStyle w:val="style0"/>
        <w:shd w:fill="FFFFFF" w:val="clear"/>
        <w:spacing w:after="28" w:before="28" w:line="300" w:lineRule="atLeast"/>
        <w:jc w:val="both"/>
      </w:pPr>
      <w:bookmarkStart w:id="371" w:name="LOC_ART.151"/>
      <w:bookmarkStart w:id="372" w:name="SE198"/>
      <w:bookmarkEnd w:id="371"/>
      <w:bookmarkEnd w:id="372"/>
      <w:r>
        <w:rPr>
          <w:rFonts w:ascii="Verdana" w:cs="Times New Roman" w:eastAsia="Times New Roman" w:hAnsi="Verdana"/>
          <w:b/>
          <w:bCs/>
          <w:caps/>
          <w:color w:val="0087AD"/>
          <w:sz w:val="17"/>
          <w:lang w:eastAsia="es-ES"/>
        </w:rPr>
        <w:t>ARTÍCULO 151.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trabajos de demolición y rehabilitación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trabajos de demolición y rehabilitación,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Demoliciones (estructuras, cerramientos, cubiertas,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Rehabilitaciones.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Fachadas cáscara.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Distribución interior e instalaciones.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y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y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Andamios.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Borriquetas.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Plataformas de trabajo, pasarelas,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Tipos de productos, materiales e instalaciones especialmente peligrosas.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Construcciones colindantes.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y de las formas de ejecución.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Fases de la demolición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73" w:name="LOC_ART.152"/>
      <w:bookmarkStart w:id="374" w:name="SE199"/>
      <w:bookmarkEnd w:id="373"/>
      <w:bookmarkEnd w:id="374"/>
      <w:r>
        <w:rPr>
          <w:rFonts w:ascii="Verdana" w:cs="Times New Roman" w:eastAsia="Times New Roman" w:hAnsi="Verdana"/>
          <w:b/>
          <w:bCs/>
          <w:caps/>
          <w:color w:val="0087AD"/>
          <w:sz w:val="17"/>
          <w:lang w:eastAsia="es-ES"/>
        </w:rPr>
        <w:t>ARTÍCULO 152.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encofrados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encofrados,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Sistemas de encofrado (forjados, muros, vigas, pilares, escaleras, rampas). Materiales utilizados. Montaje y desmontaje.</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Técnicas de hormigonado (bomba, cuba, canaleta,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Vibrado.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Procedimientos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y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y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de corte (sierra circular, tronzadora,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Andamios.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Torretas de hormigonado.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Herramientas, pequeño material,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y de las formas de ejecución.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Acopio de materiales.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75" w:name="LOC_ART.153"/>
      <w:bookmarkStart w:id="376" w:name="SE200"/>
      <w:bookmarkEnd w:id="375"/>
      <w:bookmarkEnd w:id="376"/>
      <w:r>
        <w:rPr>
          <w:rFonts w:ascii="Verdana" w:cs="Times New Roman" w:eastAsia="Times New Roman" w:hAnsi="Verdana"/>
          <w:b/>
          <w:bCs/>
          <w:caps/>
          <w:color w:val="0087AD"/>
          <w:sz w:val="17"/>
          <w:lang w:eastAsia="es-ES"/>
        </w:rPr>
        <w:t>ARTÍCULO 153.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ferrallado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ferrallado,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Ferralla armada en taller o en obra. Acopio.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Armado y montaje en forjados, muros, trincheras, vigas, pilares, escaleras, rampas,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y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y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de corte y doblado.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Herramientas, pequeño material,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77" w:name="LOC_ART.154"/>
      <w:bookmarkStart w:id="378" w:name="SE201"/>
      <w:bookmarkEnd w:id="377"/>
      <w:bookmarkEnd w:id="378"/>
      <w:r>
        <w:rPr>
          <w:rFonts w:ascii="Verdana" w:cs="Times New Roman" w:eastAsia="Times New Roman" w:hAnsi="Verdana"/>
          <w:b/>
          <w:bCs/>
          <w:caps/>
          <w:color w:val="0087AD"/>
          <w:sz w:val="17"/>
          <w:lang w:eastAsia="es-ES"/>
        </w:rPr>
        <w:t>ARTÍCULO 154.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revestimiento de yeso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revestimiento de yeso,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sobre paramentos verticales u horizontales.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Técnicas de aplicación (proyectado, maestreado, a buena vista,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y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y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Borriquetas.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Plataformas de trabajo, pasarelas.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Herramientas, pequeño material,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Orden y limpieza.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Medios auxiliares.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Fomentar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79" w:name="LOC_ART.155"/>
      <w:bookmarkStart w:id="380" w:name="SE202"/>
      <w:bookmarkEnd w:id="379"/>
      <w:bookmarkEnd w:id="380"/>
      <w:r>
        <w:rPr>
          <w:rFonts w:ascii="Verdana" w:cs="Times New Roman" w:eastAsia="Times New Roman" w:hAnsi="Verdana"/>
          <w:b/>
          <w:bCs/>
          <w:caps/>
          <w:color w:val="0087AD"/>
          <w:sz w:val="17"/>
          <w:lang w:eastAsia="es-ES"/>
        </w:rPr>
        <w:t>ARTÍCULO 155.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electricidad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electricidad,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Centros de transformación.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Líneas generales.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Instalación provisional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Escaleras.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Pequeño material.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portátiles y herramientas.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y del tránsito por el mismo. Planificación de las tareas desde un punto de vista preventivo.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Previsión de las necesidades de los diferentes equipos eléctricos.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Primeros auxilios y medidas de emergencia.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Conocimientos específicos básicos. Objetivos y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81" w:name="LOC_ART.156"/>
      <w:bookmarkStart w:id="382" w:name="SE203"/>
      <w:bookmarkEnd w:id="381"/>
      <w:bookmarkEnd w:id="382"/>
      <w:r>
        <w:rPr>
          <w:rFonts w:ascii="Verdana" w:cs="Times New Roman" w:eastAsia="Times New Roman" w:hAnsi="Verdana"/>
          <w:b/>
          <w:bCs/>
          <w:caps/>
          <w:color w:val="0087AD"/>
          <w:sz w:val="17"/>
          <w:lang w:eastAsia="es-ES"/>
        </w:rPr>
        <w:t>ARTÍCULO 156.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fontanería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fontanería,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Instalaciones provisionales de obra.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Bajantes.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Instalación colgada.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Instalaciones en locales (servicios, cocinas, baños,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Urbanizaciones, pozos, arquetas,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portátiles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de soldadura.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Andamios.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Pequeño material,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y del tránsito por el mismo. Planificación de las tareas desde un punto de vista preventivo.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83" w:name="LOC_ART.157"/>
      <w:bookmarkStart w:id="384" w:name="SE204"/>
      <w:bookmarkEnd w:id="383"/>
      <w:bookmarkEnd w:id="384"/>
      <w:r>
        <w:rPr>
          <w:rFonts w:ascii="Verdana" w:cs="Times New Roman" w:eastAsia="Times New Roman" w:hAnsi="Verdana"/>
          <w:b/>
          <w:bCs/>
          <w:caps/>
          <w:color w:val="0087AD"/>
          <w:sz w:val="17"/>
          <w:lang w:eastAsia="es-ES"/>
        </w:rPr>
        <w:t>ARTÍCULO 157.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cantería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cantería,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Chapados y revestimientos.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Escaleras.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Fachadas ventiladas.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Estructuras auxiliares.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Consideraciones previas. Ambiente pulvígeno.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Maquinaria y equipos de corte fijos.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portátiles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Pequeño material.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y del tránsito por el mismo. Planificación de las tareas desde un punto de vista preventivo.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Estructuras auxiliares.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85" w:name="LOC_ART.158"/>
      <w:bookmarkStart w:id="386" w:name="SE205"/>
      <w:bookmarkEnd w:id="385"/>
      <w:bookmarkEnd w:id="386"/>
      <w:r>
        <w:rPr>
          <w:rFonts w:ascii="Verdana" w:cs="Times New Roman" w:eastAsia="Times New Roman" w:hAnsi="Verdana"/>
          <w:b/>
          <w:bCs/>
          <w:caps/>
          <w:color w:val="0087AD"/>
          <w:sz w:val="17"/>
          <w:lang w:eastAsia="es-ES"/>
        </w:rPr>
        <w:t>ARTÍCULO 158.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pintura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pintura,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Pintura en exterior e interior.</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Técnicas de aplicación.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Pinturas especiales.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Preparación de soportes.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Plataformas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Medios auxiliares.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portátiles.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(lugares ventilados) y del tránsito por el mismo. Planificación de las tareas desde un punto de vista preventivo.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Estructuras auxiliares.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87" w:name="LOC_ART.159"/>
      <w:bookmarkStart w:id="388" w:name="SE206"/>
      <w:bookmarkEnd w:id="387"/>
      <w:bookmarkEnd w:id="388"/>
      <w:r>
        <w:rPr>
          <w:rFonts w:ascii="Verdana" w:cs="Times New Roman" w:eastAsia="Times New Roman" w:hAnsi="Verdana"/>
          <w:b/>
          <w:bCs/>
          <w:caps/>
          <w:color w:val="0087AD"/>
          <w:sz w:val="17"/>
          <w:lang w:eastAsia="es-ES"/>
        </w:rPr>
        <w:t>ARTÍCULO 159.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solados y alicatados,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Colocación de revestimientos exteriores e interiores.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Solados de grandes dimensiones.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Revestimientos continuos.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Pavimentos especiales.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la tarea concreta.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Máquinas de corte.</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portátiles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Pequeño material.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y del tránsito por el mismo.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89" w:name="LOC_ART.160"/>
      <w:bookmarkStart w:id="390" w:name="SE207"/>
      <w:bookmarkEnd w:id="389"/>
      <w:bookmarkEnd w:id="390"/>
      <w:r>
        <w:rPr>
          <w:rFonts w:ascii="Verdana" w:cs="Times New Roman" w:eastAsia="Times New Roman" w:hAnsi="Verdana"/>
          <w:b/>
          <w:bCs/>
          <w:caps/>
          <w:color w:val="0087AD"/>
          <w:sz w:val="17"/>
          <w:lang w:eastAsia="es-ES"/>
        </w:rPr>
        <w:t>ARTÍCULO 160.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operadores de aparatos elevadores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operadores de aparatos elevadores,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Tipos de máquinas y equipos, componentes principales. Grúa torre, montacargas, maquinillo, plataformas de elevación móviles, manipuladoras telescópicas,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el uso de la máquina o del equipo de trabajo concreto.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Formación específica del operador. Autorización de uso.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Útiles de la máquina o del equipo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Mantenimiento y verificaciones, manual del fabricante, características de los principales elementos, dispositivos de seguridad, documentación, sistemas de elevación,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(instalaciones de alta tensión, limitaciones de carga y alcance).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Emplazamiento de la máquina o del equipo.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 Interferencias con otras máquinas de la zona (grúas).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Protocolos de actuación de los operadores en caso de interferencias.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91" w:name="LOC_ART.161"/>
      <w:bookmarkStart w:id="392" w:name="SE208"/>
      <w:bookmarkEnd w:id="391"/>
      <w:bookmarkEnd w:id="392"/>
      <w:r>
        <w:rPr>
          <w:rFonts w:ascii="Verdana" w:cs="Times New Roman" w:eastAsia="Times New Roman" w:hAnsi="Verdana"/>
          <w:b/>
          <w:bCs/>
          <w:caps/>
          <w:color w:val="0087AD"/>
          <w:sz w:val="17"/>
          <w:lang w:eastAsia="es-ES"/>
        </w:rPr>
        <w:t>ARTÍCULO 161.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operadores de vehículos y maquinaria de movimiento de tierras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operadores de vehículos y maquinaria de movimiento de tierras,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Tipos de máquinas. Maquinaria de transporte camión, dumper, maquinaria de movimiento de tierras y compactación: bulldozer, pala cargadora, retroexcavadora, motoniveladora, «jumbo», entendedora/compactadota asfálticas,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Identificación de riesgos (atropello, vuelco de la máquina, atrapamiento, electrocución, explosión, incendio, proyección de partículas, ruido, vibraciones, estrés térmico, fatiga,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el uso de la maquinaria y de los equipos de trabajo concretos.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Accesos para vehículos y personas.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Formación específica del operador. Autorización de uso.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Conducciones enterradas (eléctricas, telecomunicaciones, gas, sanitarias,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Útiles de la máquina o del equipo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Mantenimiento y verificaciones, manual del fabricante, características de los principales elementos, dispositivos de seguridad, documentación, sistemas de elevación,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Construcciones colindantes. Protecciones perimetrales.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Tránsito por la obra (zanjas, desniveles).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Consideraciones respecto al estudio geotécnico.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 y tránsito.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93" w:name="LOC_ART.162"/>
      <w:bookmarkStart w:id="394" w:name="SE209"/>
      <w:bookmarkEnd w:id="393"/>
      <w:bookmarkEnd w:id="394"/>
      <w:r>
        <w:rPr>
          <w:rFonts w:ascii="Verdana" w:cs="Times New Roman" w:eastAsia="Times New Roman" w:hAnsi="Verdana"/>
          <w:b/>
          <w:bCs/>
          <w:caps/>
          <w:color w:val="0087AD"/>
          <w:sz w:val="17"/>
          <w:lang w:eastAsia="es-ES"/>
        </w:rPr>
        <w:t>ARTÍCULO 162.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operadores de equipos manuales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operadores de equipos manuales, cuyo módulo tendrá una duración mínima de veinte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Definición de los trabajos.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Tipos de equipos. Tronzadora, cortadora de mesa (madera y material cerámico), radial, guillotina, pulidora, martillos neumáticos,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Procedimientos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Técnicas preventivas específicas.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Aplicación del plan de seguridad y salud en el uso del equipo de trabajo concreto. Evaluación de riesgos en el caso de que no exista plan.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colectivas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Protecciones individuales (colocación, usos, obligaciones y mantenimiento).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Formación específica del operador. Autorización de uso.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Conexiones eléctricas o mecánicas.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Medios auxiliares, equipos y herramientas.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Útiles del equipo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Mantenimiento y verificaciones, manual del fabricante, características de los principales elementos, dispositivos de seguridad, documentación, sistemas de elevación,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Verificación, identificación y vigilancia del lugar de trabajo y su entorno.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 necesarias.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(ubicación de acopios y material de desecho, proximidad de conexiones).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Tránsito por la obra (zanjas, desniveles).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Implantación en el lugar de trabajo (prevención de caídas de personas a distinto nivel, daños a terceros,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Interferencias entre actividades.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Ventilación del lugar de trabajo. Ruidos.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 y tránsito.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Derechos y obligaciones.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Fomento de la toma de conciencia sobre la importancia de involucrarse en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bookmarkStart w:id="395" w:name="LOC_SSC.4"/>
      <w:bookmarkStart w:id="396" w:name="SE210"/>
      <w:bookmarkEnd w:id="395"/>
      <w:bookmarkEnd w:id="396"/>
      <w:r>
        <w:rPr>
          <w:rFonts w:ascii="Verdana" w:cs="Times New Roman" w:eastAsia="Times New Roman" w:hAnsi="Verdana"/>
          <w:b/>
          <w:bCs/>
          <w:color w:val="0087AD"/>
          <w:sz w:val="21"/>
          <w:lang w:eastAsia="es-ES"/>
        </w:rPr>
        <w:t>Subsección Cuarta.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Criterios relativos a la formación en materia de prevención de riesgos laborales contenida en el Convenio General del Sector de la Construcción: convalidaciones y trabajadores multifuncionales y polivalentes</w:t>
      </w:r>
    </w:p>
    <w:p>
      <w:pPr>
        <w:pStyle w:val="style0"/>
        <w:shd w:fill="FFFFFF" w:val="clear"/>
        <w:spacing w:after="28" w:before="28" w:line="300" w:lineRule="atLeast"/>
        <w:jc w:val="both"/>
      </w:pPr>
      <w:bookmarkStart w:id="397" w:name="LOC_ART.163"/>
      <w:bookmarkStart w:id="398" w:name="SE211"/>
      <w:bookmarkEnd w:id="397"/>
      <w:bookmarkEnd w:id="398"/>
      <w:r>
        <w:rPr>
          <w:rFonts w:ascii="Verdana" w:cs="Times New Roman" w:eastAsia="Times New Roman" w:hAnsi="Verdana"/>
          <w:b/>
          <w:bCs/>
          <w:caps/>
          <w:color w:val="0087AD"/>
          <w:sz w:val="17"/>
          <w:lang w:eastAsia="es-ES"/>
        </w:rPr>
        <w:t>ARTÍCULO 163.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Convalidación de la formación en relación con la recogida en el reglamento de los servicios de prevención así como con la recibida por los coordinadores de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términos generales los trabajadores que presten sus servicios en empresas encuadradas en el ámbito de aplicación del presente Convenio General del Sector de la Construcción y que desarrollen su actividad en la obra deben tener al menos la formación inicial.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Sin embargo, los trabajadores que realicen actividades correspondientes a alguno de los oficios indicados en los arts. 145 al 162 del V Convenio General del Sector de la Construcción, deberán cursar la formación que le corresponda en función del oficio que desarrollen. Si ejecutan tareas correspondientes a oficios cuyos contenidos formativos no están especificados en el mismo, tendrán que realizar una formación en función de las tareas que desempeñen, siguiendo en todo caso la estructura y los requisitos marcados en los contenidos formativos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relación con los trabajadores que han cursado formación conforme al Real Decreto 39/1997, de 17 de enero, por el que se aprueba el Reglamento de los Servicios de Prevención, o han recibido la formación de Coordinador de Seguridad y Seguridad y Salud para la construcción conforme a la Guía Técnica del Real Decreto 1627/1997 elaborada por el Instituto Nacional de Seguridad e Higiene en el Trabajo, debe tenerse presente la siguiente tabla de convalidaciones: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Convalidación de la formación preventiva</w:t>
      </w:r>
    </w:p>
    <w:tbl>
      <w:tblPr>
        <w:jc w:val="center"/>
        <w:tblBorders>
          <w:top w:color="00000A" w:space="0" w:sz="6" w:val="thickThinLargeGap"/>
          <w:left w:color="00000A" w:space="0" w:sz="6" w:val="thickThinLargeGap"/>
          <w:bottom w:color="00000A" w:space="0" w:sz="6" w:val="thickThinLargeGap"/>
          <w:right w:color="00000A" w:space="0" w:sz="6" w:val="thickThinLargeGap"/>
        </w:tblBorders>
      </w:tblPr>
      <w:tblGrid>
        <w:gridCol w:w="3673"/>
        <w:gridCol w:w="4846"/>
      </w:tblGrid>
      <w:tr>
        <w:trPr>
          <w:cantSplit w:val="false"/>
        </w:trPr>
        <w:tc>
          <w:tcPr>
            <w:tcW w:type="dxa" w:w="3673"/>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jc w:val="center"/>
            </w:pPr>
            <w:bookmarkStart w:id="399" w:name="LOC_ART.163#TAB.3"/>
            <w:bookmarkStart w:id="400" w:name="LOC_ART.163.TAB.3"/>
            <w:bookmarkEnd w:id="399"/>
            <w:bookmarkEnd w:id="400"/>
            <w:r>
              <w:rPr>
                <w:rFonts w:ascii="Times New Roman" w:cs="Times New Roman" w:eastAsia="Times New Roman" w:hAnsi="Times New Roman"/>
                <w:b/>
                <w:bCs/>
                <w:sz w:val="14"/>
                <w:lang w:eastAsia="es-ES"/>
              </w:rPr>
              <w:t>Formación preventiva recogida en el Real Decreto 39/1997 y en la Guía Técnica del Real Decreto 1627/1997</w:t>
            </w:r>
          </w:p>
        </w:tc>
        <w:tc>
          <w:tcPr>
            <w:tcW w:type="dxa" w:w="484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jc w:val="center"/>
            </w:pPr>
            <w:r>
              <w:rPr>
                <w:rFonts w:ascii="Times New Roman" w:cs="Times New Roman" w:eastAsia="Times New Roman" w:hAnsi="Times New Roman"/>
                <w:b/>
                <w:bCs/>
                <w:sz w:val="14"/>
                <w:lang w:eastAsia="es-ES"/>
              </w:rPr>
              <w:t>Convalidación respecto a la formación preventiva especificada en el IV CCGSC</w:t>
            </w:r>
          </w:p>
        </w:tc>
      </w:tr>
      <w:tr>
        <w:trPr>
          <w:cantSplit w:val="false"/>
        </w:trPr>
        <w:tc>
          <w:tcPr>
            <w:tcW w:type="dxa" w:w="3673"/>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de nivel superior</w:t>
            </w:r>
          </w:p>
        </w:tc>
        <w:tc>
          <w:tcPr>
            <w:tcW w:type="dxa" w:w="484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inicial (art. 143).</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Personal directivo (art. 145).</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Responsables de obra y técnicos de ejecución (art. 146).</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Mandos intermedios (art. 147).</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Delegados de prevención (art. 148).</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Administrativos (art. 149).</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Tronco común de oficios (14 horas).</w:t>
            </w:r>
          </w:p>
        </w:tc>
      </w:tr>
      <w:tr>
        <w:trPr>
          <w:cantSplit w:val="false"/>
        </w:trPr>
        <w:tc>
          <w:tcPr>
            <w:tcW w:type="dxa" w:w="3673"/>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de nivel intermedio</w:t>
            </w:r>
          </w:p>
        </w:tc>
        <w:tc>
          <w:tcPr>
            <w:tcW w:type="dxa" w:w="484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inicial (art. 143).</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Personal directivo (art. 145).</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Responsables de obra y técnicos de ejecución (art. 146).</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Mandos intermedios (art. 147).</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Delegados de prevención (art. 148).</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Administrativos (art. 149).</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Tronco común de oficios (14 horas).</w:t>
            </w:r>
          </w:p>
        </w:tc>
      </w:tr>
      <w:tr>
        <w:trPr>
          <w:cantSplit w:val="false"/>
        </w:trPr>
        <w:tc>
          <w:tcPr>
            <w:tcW w:type="dxa" w:w="3673"/>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de nivel básico</w:t>
            </w:r>
          </w:p>
        </w:tc>
        <w:tc>
          <w:tcPr>
            <w:tcW w:type="dxa" w:w="484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inicial (art. 143).</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Responsables de obra y técnicos de ejecución (art. 146).</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Mandos intermedios (art. 147).</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Administrativos (art. 149).</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Tronco común de oficios (14 horas).</w:t>
            </w:r>
          </w:p>
        </w:tc>
      </w:tr>
      <w:tr>
        <w:trPr>
          <w:cantSplit w:val="false"/>
        </w:trPr>
        <w:tc>
          <w:tcPr>
            <w:tcW w:type="dxa" w:w="3673"/>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Coordinador en materia de seguridad y de salud</w:t>
            </w:r>
          </w:p>
        </w:tc>
        <w:tc>
          <w:tcPr>
            <w:tcW w:type="dxa" w:w="4846"/>
            <w:tcBorders>
              <w:top w:color="00000A" w:space="0" w:sz="6" w:val="thickThinLargeGap"/>
              <w:left w:color="00000A" w:space="0" w:sz="6" w:val="thickThinLargeGap"/>
              <w:bottom w:color="00000A" w:space="0" w:sz="6" w:val="thickThinLargeGap"/>
              <w:right w:color="00000A" w:space="0" w:sz="6" w:val="thickThinLargeGap"/>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Formación inicial (art. 143).</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Responsables de obra y técnicos de ejecución (art. 146).</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Mandos intermedios (art. 147).</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Delegados de prevención (art. 148).</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Administrativos (art. 149).</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Tronco común de oficios (14 horas).</w:t>
            </w:r>
          </w:p>
        </w:tc>
      </w:tr>
    </w:tbl>
    <w:p>
      <w:pPr>
        <w:pStyle w:val="style0"/>
        <w:shd w:fill="FFFFFF" w:val="clear"/>
        <w:spacing w:after="28" w:before="28" w:line="300" w:lineRule="atLeast"/>
        <w:jc w:val="both"/>
      </w:pPr>
      <w:bookmarkStart w:id="401" w:name="LOC_ART.164"/>
      <w:bookmarkStart w:id="402" w:name="SE212"/>
      <w:bookmarkEnd w:id="401"/>
      <w:bookmarkEnd w:id="402"/>
      <w:r>
        <w:rPr>
          <w:rFonts w:ascii="Verdana" w:cs="Times New Roman" w:eastAsia="Times New Roman" w:hAnsi="Verdana"/>
          <w:b/>
          <w:bCs/>
          <w:caps/>
          <w:color w:val="0087AD"/>
          <w:sz w:val="17"/>
          <w:lang w:eastAsia="es-ES"/>
        </w:rPr>
        <w:t>ARTÍCULO 164.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Contenidos formativos y convalidaciones de formación de segundo ciclo especificada en el CGSC para los trabajadores multifunciones o polivalentes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Tras analizar los contenidos de la formación indicada en el presente Convenio, se llega a las siguientes conclusiones: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la formación de segundo ciclo por oficio se detecta la existencia de una parte común (con una duración de 14 horas) y una parte específica (con una duración de 6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contenidos de la parte común son los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Técnicas preventivas (3 horas).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Medios de protección colectiva.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Equipos de protección individual.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Señalización.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Medios auxiliares, equipos y herramientas (2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Verificación, identificación y vigilancia del lugar de trabajo y su entorno (5 horas 30 min.).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Conocimiento del entorno del lugar de trabajo. Planificación de las tareas desde un punto de vista preventivo.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Manipulación de productos químicos. Ficha de datos de seguridad. Simbología.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Interferencias entre actividades (30 min).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Actividades simultáneas o sucesivas.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Derechos y obligaciones (2 horas 30 min).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general y específico.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de la prevención de riesgos laborales.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Participación, información, consulta y propuestas.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contenidos de la parte específica son los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Contenido formativo específico para albañilería: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albañilería,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Fachadas (fábrica de ladrillo y revestimiento de cemento).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Distribución interior (tabiquería).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(cerámicos, cartón-yeso, escayola,…).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plataformas de trabajo,…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Contenido formativo específico para encofrados: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encofrados,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Sistemas de encofrado (forjados, muros, vigas, pilares, escaleras, etc.). Materiales utilizados. Montaje y desmontaje.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Técnicas de hormigonado (bomba, cuba, canaleta,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Vibrado.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Procedimientos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torretas de hormigonado,…)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Contenido formativo específico para ferrallado: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ferrallado,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Ferralla armada en taller o en obra. Acopio.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Armado y montaje en forjados, muros, trincheras, vigas, pilares, escaleras, rampas,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Contenido formativo específico para demolición y rehabilitación: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demolición y rehabilitación,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Demoliciones (estructuras, cerramientos, cubiertas,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Desescombrado (interior, por fachada,…).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Rehabilitaciones.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Fachadas de cáscara.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Distribución interior e instalaciones.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tolvas de desescombro,…)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Contenido formativo específico para revestimiento de yeso: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revestimiento de yeso,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Aplicación sobre paramento horizontal y vertical.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Fabricación de la pasta de yeso.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Técnicas de aplicación (proyectado, maestreado, a buena vista,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Contenido formativo específico para cantería: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cantería,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Chapados y revestimientos.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Escaleras.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Fachadas ventiladas.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Estructuras auxiliares.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Contenido formativo específico para pintura: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pintura,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Pintura en exterior e interior.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Técnicas de aplicación.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Pinturas especiales.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Preparación de soportes.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Contenido formativo específico para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solados y alicatados,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Colocación de revestimientos interiores y exteriores.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Solados de grandes dimensiones.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Revestimientos continuos.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Pavimentos especiales.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Contenido formativo específico para electricidad: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electricidad,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Centros de transformación.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Líneas generales.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Instalación provisional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Primeros auxilios frente al riesgo eléctrico (20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Contenido formativo específico para fontanería: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fontanería,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Instalaciones provisionales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Bajantes.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Instalación colgada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Instalaciones en locales (servicios, cocinas, baños,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Urbanizaciones, pozos, arquetas,…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(andamios, escaleras de mano,…)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Manipulación manual de cargas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Materiales y productos (etiquetado, fichas de datos de seguridad, frases R y S,…)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El contenido formativo específico para aparatos elevadores,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Tipos de máquinas y equipos, componentes principales. Grúa torre, montacargas, maquinillo, plataformas de elevación móviles, manipuladoras telescópicas,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(Útiles de la máquina o del equipo de trabajo.,…) (50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(35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Estrobado de la carga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Mantenimiento y verificaciones, manual del fabricante, características de los principales elementos, dispositivos de seguridad, sistemas de elevación, documentación, etc. (50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Interferencias entre actividades (20 minutos).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Interferencias con otras máquinas.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Protocolos de actuación de los operadores en caso de interferencias.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Señalización (20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Contenido formativo específico para vehículos y maquinaria de movimiento de tierras: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vehículos y maquinaria de movimiento de tierras,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Tipos de máquinas. Maquinaria de transporte camión, dumper, maquinaria de movimiento de tierras y compactación: bulldozer, pala cargadora, retroexcavadora, motoniveladora, «jumbo», entendedora/compactadota asfálticas,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(Útiles de la máquina o del equipo de trabajo,…)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trabajo y herramientas: Riesgos y medidas preventivas (45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Mantenimiento y verificaciones, manual del fabricante, características de los principales elementos, dispositivos de seguridad, documentación, sistemas de elevación, etc.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Interferencias entre máquinas (20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Señalización y tránsito (30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Contenido formativo específico para operadores de equipos manuales: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específico para operadores de equipos manuales, cuyo módulo tendrá una duración mínima de 6 horas lectivas,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Definición de los trabajos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Tipos de equipos. Tronzadora, cortadora de mesa (madera y material cerámico), radial, guillotina, pulidora, martillos neumáticos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Procedimientos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Técnicas preventivas específicas (5 horas 30 min.).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Identificación de riesgos (40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Evaluación de riesgos del puesto (genérica)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auxiliares, equipos de trabajo y herramientas: (60 minutos).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Útiles de la máquina o del equipo de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y medidas preventivas.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Mantenimiento y verificaciones, manual del fabricante, características de los principales elementos, dispositivos de seguridad, documentación, sistemas de elevación, etc. (60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Aspectos ergonómicos (20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Medios de protección colectiva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Equipos de protección individual (colocación, usos, obligaciones y mantenimiento)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Conexiones eléctricas o mecánicas (15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Ventilación del lugar de trabajo. Ruido. (25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Señalización (20 minutos).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consecuencia se podrán desarrollar acciones formativas específicas de 6 horas para aquellos trabajadores que, previamente, hayan cursado una acción formativa completa de 20 horas.</w:t>
      </w:r>
    </w:p>
    <w:p>
      <w:pPr>
        <w:pStyle w:val="style0"/>
        <w:shd w:fill="FFFFFF" w:val="clear"/>
        <w:spacing w:after="28" w:before="28" w:line="300" w:lineRule="atLeast"/>
        <w:jc w:val="both"/>
      </w:pPr>
      <w:bookmarkStart w:id="403" w:name="LOC_ART.165"/>
      <w:bookmarkStart w:id="404" w:name="SE213"/>
      <w:bookmarkEnd w:id="403"/>
      <w:bookmarkEnd w:id="404"/>
      <w:r>
        <w:rPr>
          <w:rFonts w:ascii="Verdana" w:cs="Times New Roman" w:eastAsia="Times New Roman" w:hAnsi="Verdana"/>
          <w:b/>
          <w:bCs/>
          <w:caps/>
          <w:color w:val="0087AD"/>
          <w:sz w:val="17"/>
          <w:lang w:eastAsia="es-ES"/>
        </w:rPr>
        <w:t>ARTÍCULO 165.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Acciones formativas para trabajadores multifuncionales y polivalentes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Dado que determinados trabajadores del sector desempeñan varios oficios, dentro del para el Plan de Formación Sectorial se podrán realizar acciones formativas que incluyan a varios oficios de acuerdo con lo dispuesto en el artículo precedente: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combinación de formación de diferentes oficios se realizará de acuerdo con las siguientes acciones formativas: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Acción formativa multifuncional: dos oficios.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Albañilería – Revestimiento de yeso.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Albañilería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Encofrados – Ferrallado.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Revestimiento de yeso – Pintura.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Revestimiento de yeso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Duración de la acción formativa: 26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Acción formativa multifuncional: tres oficios.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Albañilería – Encofrados – Ferrallado.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Albañilería – Revestimiento de yeso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Revestimiento de yeso – Pintura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Duración de la acción: 32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Acción formativa multifuncional: cuatro oficios.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Albañilería – Revestimiento de yeso – Pintura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Duración de la acción formativa: 38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Acción formativa multifuncional: cinco oficios.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Albañilería – Encofrados – Ferrallado – Revestimiento de yeso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Duración de la acción: 44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Acción formativa multifuncional: seis oficios.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Albañilería – Encofrados – Ferrallado – Revestimiento de yeso – Pintura - Solados y alicatados.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Duración de la acción: 50 horas.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Como consecuencia de que los contenidos de la acción formativa para operadores de equipos manuales están incluidos, en su mayor parte, en los diferentes oficios relacionados, no se considera necesario la repetición de los mismos.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cualquier caso, se mantienen las acciones formativas de 20 horas de duración para los trabajadores que sólo deseen realizar uno de los oficios.</w:t>
      </w:r>
    </w:p>
    <w:p>
      <w:pPr>
        <w:pStyle w:val="style0"/>
        <w:shd w:fill="FFFFFF" w:val="clear"/>
        <w:spacing w:after="28" w:before="28" w:line="300" w:lineRule="atLeast"/>
        <w:jc w:val="both"/>
      </w:pPr>
      <w:bookmarkStart w:id="405" w:name="SE214"/>
      <w:bookmarkEnd w:id="405"/>
      <w:r>
        <w:rPr>
          <w:rFonts w:ascii="Verdana" w:cs="Times New Roman" w:eastAsia="Times New Roman" w:hAnsi="Verdana"/>
          <w:b/>
          <w:bCs/>
          <w:color w:val="0087AD"/>
          <w:sz w:val="21"/>
          <w:lang w:eastAsia="es-ES"/>
        </w:rPr>
        <w:t>SECCIÓN CUARTA.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Nivel básico de prevención en la construcción</w:t>
      </w:r>
    </w:p>
    <w:p>
      <w:pPr>
        <w:pStyle w:val="style0"/>
        <w:shd w:fill="FFFFFF" w:val="clear"/>
        <w:spacing w:after="28" w:before="28" w:line="300" w:lineRule="atLeast"/>
        <w:jc w:val="both"/>
      </w:pPr>
      <w:bookmarkStart w:id="406" w:name="LOC_ART.166"/>
      <w:bookmarkStart w:id="407" w:name="SE215"/>
      <w:bookmarkEnd w:id="406"/>
      <w:bookmarkEnd w:id="407"/>
      <w:r>
        <w:rPr>
          <w:rFonts w:ascii="Verdana" w:cs="Times New Roman" w:eastAsia="Times New Roman" w:hAnsi="Verdana"/>
          <w:b/>
          <w:bCs/>
          <w:caps/>
          <w:color w:val="0087AD"/>
          <w:sz w:val="17"/>
          <w:lang w:eastAsia="es-ES"/>
        </w:rPr>
        <w:t>ARTÍCULO 166.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Contenido formativo para el nivel básico de prevención en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contenido formativo para el nivel básico de prevención en la construcción, cuyo módulo tendrá una duración mínima de sesenta horas, se esquematiza de la siguiente 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Conceptos básicos sobre seguridad y salud.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El trabajo y la salud. Los riesgos profesionales. Factores de riesgo.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Daños derivados del trabajo. Los accidentes de trabajo y las enfermedades profesionales. Otras patologías derivadas del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Marco normativo básico en materia de prevención de riesgos laborales. Deberes y obligaciones básicos en esta materia.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Riesgos generales y su prevención.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ligados a las condiciones de seguridad.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Riesgos ligados al medio ambiente del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La carga del trabajo, la fatiga y la insatisfacción laboral.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Sistemas elementales de control de riesgos. Medios de protección colectiva y equipos de protección individual.</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Planes de emergencia y evacuación.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El control de la salud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Riesgos específicos y su prevención en el sector de la construcción.</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Diferentes fases de obra y sus protecciones correspondientes (redes, barandillas, andamios, plataformas de trabaja, escaleras, etc.).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Implantación de obra. Locales higiénico sanitarios, instalaciones provisionales,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Elementos básicos de gestión de la prevención de riesgos.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Organismos públicos relacionados con la seguridad y salud en el trabajo.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Organización preventiva del trabajo: «rutinas» básicas.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Documentación: recogida, elaboración y archivo.</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Representación de los trabajadores. Derechos y obligaciones (delegados de prevención, comité de seguridad y salud, trabajadores designados,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Primeros auxilios.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Procedimientos generales.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Plan de actuación.</w:t>
      </w:r>
    </w:p>
    <w:p>
      <w:pPr>
        <w:pStyle w:val="style0"/>
        <w:shd w:fill="FFFFFF" w:val="clear"/>
        <w:spacing w:after="28" w:before="28" w:line="300" w:lineRule="atLeast"/>
        <w:jc w:val="both"/>
      </w:pPr>
      <w:bookmarkStart w:id="408" w:name="SE216"/>
      <w:bookmarkEnd w:id="408"/>
      <w:r>
        <w:rPr>
          <w:rFonts w:ascii="Verdana" w:cs="Times New Roman" w:eastAsia="Times New Roman" w:hAnsi="Verdana"/>
          <w:b/>
          <w:bCs/>
          <w:color w:val="0087AD"/>
          <w:sz w:val="21"/>
          <w:lang w:eastAsia="es-ES"/>
        </w:rPr>
        <w:t>CAPÍTULO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ACREDITACIÓN DE LA FORMACIÓN: TARJETA PROFESIONAL DE LA CONSTRUCCIÓN</w:t>
      </w:r>
    </w:p>
    <w:p>
      <w:pPr>
        <w:pStyle w:val="style0"/>
        <w:shd w:fill="FFFFFF" w:val="clear"/>
        <w:spacing w:after="28" w:before="28" w:line="300" w:lineRule="atLeast"/>
        <w:jc w:val="both"/>
      </w:pPr>
      <w:bookmarkStart w:id="409" w:name="SE217"/>
      <w:bookmarkEnd w:id="409"/>
      <w:r>
        <w:rPr>
          <w:rFonts w:ascii="Verdana" w:cs="Times New Roman" w:eastAsia="Times New Roman" w:hAnsi="Verdana"/>
          <w:b/>
          <w:bCs/>
          <w:color w:val="0087AD"/>
          <w:sz w:val="21"/>
          <w:lang w:eastAsia="es-ES"/>
        </w:rPr>
        <w:t>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Definición, funciones y beneficiarios</w:t>
      </w:r>
    </w:p>
    <w:p>
      <w:pPr>
        <w:pStyle w:val="style0"/>
        <w:shd w:fill="FFFFFF" w:val="clear"/>
        <w:spacing w:after="28" w:before="28" w:line="300" w:lineRule="atLeast"/>
        <w:jc w:val="both"/>
      </w:pPr>
      <w:bookmarkStart w:id="410" w:name="LOC_ART.167"/>
      <w:bookmarkStart w:id="411" w:name="SE218"/>
      <w:bookmarkEnd w:id="410"/>
      <w:bookmarkEnd w:id="411"/>
      <w:r>
        <w:rPr>
          <w:rFonts w:ascii="Verdana" w:cs="Times New Roman" w:eastAsia="Times New Roman" w:hAnsi="Verdana"/>
          <w:b/>
          <w:bCs/>
          <w:caps/>
          <w:color w:val="0087AD"/>
          <w:sz w:val="17"/>
          <w:lang w:eastAsia="es-ES"/>
        </w:rPr>
        <w:t>ARTÍCULO 167.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Definición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Tarjeta Profesional de la Construcción es el documento expedido por la Fundación Laboral de la Construcción que constituye una forma de acreditar, entre otros datos, la formación específica recibida del sector por el trabajador en materia de prevención de riesgos laborales, así como la categoría profesional del trabajador y los periodos de ocupación en las distintas empresas en las que vaya ejerciendo su actividad.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Tarjeta, que se expedirá de acuerdo con el procedimiento establecido en el presente capítulo, se soporta en un formato físico según el modelo que figura en el Anexo IV del presente Convenio y en un sistema informático que permite a su titular acceder telemáticamente a sus datos y obtener certificaciones de los mismos.</w:t>
      </w:r>
    </w:p>
    <w:p>
      <w:pPr>
        <w:pStyle w:val="style0"/>
        <w:shd w:fill="FFFFFF" w:val="clear"/>
        <w:spacing w:after="28" w:before="28" w:line="300" w:lineRule="atLeast"/>
        <w:jc w:val="both"/>
      </w:pPr>
      <w:bookmarkStart w:id="412" w:name="LOC_ART.168"/>
      <w:bookmarkStart w:id="413" w:name="SE219"/>
      <w:bookmarkEnd w:id="412"/>
      <w:bookmarkEnd w:id="413"/>
      <w:r>
        <w:rPr>
          <w:rFonts w:ascii="Verdana" w:cs="Times New Roman" w:eastAsia="Times New Roman" w:hAnsi="Verdana"/>
          <w:b/>
          <w:bCs/>
          <w:caps/>
          <w:color w:val="0087AD"/>
          <w:sz w:val="17"/>
          <w:lang w:eastAsia="es-ES"/>
        </w:rPr>
        <w:t>ARTÍCULO 168.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Acreditación de la 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Fundación Laboral de la Construcción establecerá un sistema de acreditación de la formación en materia de prevención de riesgos laborales recibida por los trabajadores del sector. Dicho sistema deberá permitir al trabajador el acceso telemático a sus datos y la obtención de certificaciones de los mismos.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Asimismo, a los efectos previstos en la Ley 32/2006, de 18 de octubre, Reguladora de la subcontratación en el sector de la construcción, el sistema permitirá a las empresas acceder a los datos de sus trabajadores que resulten necesarios para la acreditación de su formación en materia de prevención de riesgos laborales.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Fundación Laboral de la Construcción garantizará, de acuerdo con la legislación vigente, la protección de los datos de carácter personal de los trabajadores que se incluyan en el sistema.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Teniendo en cuenta el tamaño del sector y la obligación establecida en la Ley 32/2006, de 18 de Octubre, Reguladora de la subcontratación en el sector de la construcción (art. 10.3), las partes consideran la TPC como una forma de acreditación de la formación en prevención de riesgos laborales por el trabajador y que queda a su disposición.</w:t>
      </w:r>
    </w:p>
    <w:p>
      <w:pPr>
        <w:pStyle w:val="style0"/>
        <w:shd w:fill="FFFFFF" w:val="clear"/>
        <w:spacing w:after="28" w:before="28" w:line="300" w:lineRule="atLeast"/>
        <w:jc w:val="both"/>
      </w:pPr>
      <w:bookmarkStart w:id="414" w:name="LOC_ART.169"/>
      <w:bookmarkStart w:id="415" w:name="SE220"/>
      <w:bookmarkEnd w:id="414"/>
      <w:bookmarkEnd w:id="415"/>
      <w:r>
        <w:rPr>
          <w:rFonts w:ascii="Verdana" w:cs="Times New Roman" w:eastAsia="Times New Roman" w:hAnsi="Verdana"/>
          <w:b/>
          <w:bCs/>
          <w:caps/>
          <w:color w:val="0087AD"/>
          <w:sz w:val="17"/>
          <w:lang w:eastAsia="es-ES"/>
        </w:rPr>
        <w:t>ARTÍCULO 169.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Tarjeta Profesional de la Construcción tiene las siguientes funciones: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Acreditar que su titular ha recibido al menos formación inicial en materia de prevención de riesgos laborales, de acuerdo con lo previsto en el presente Convenio y en la Ley 32/2006, de 18 de octubre, Reguladora de la subcontratación en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Acreditar la categoría profesional de su titular y su experiencia en 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Acreditar que su titular ha sido sometido a los reconocimientos médicos de acuerdo con lo previsto en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Acreditar la formación de todo tipo recibida por su titular.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Facilitar el acceso de su titular a los servicios de la Fundación Laboral de la Construcción.</w:t>
      </w:r>
    </w:p>
    <w:p>
      <w:pPr>
        <w:pStyle w:val="style0"/>
        <w:shd w:fill="FFFFFF" w:val="clear"/>
        <w:spacing w:after="28" w:before="28" w:line="300" w:lineRule="atLeast"/>
        <w:jc w:val="both"/>
      </w:pPr>
      <w:bookmarkStart w:id="416" w:name="LOC_ART.170"/>
      <w:bookmarkStart w:id="417" w:name="SE221"/>
      <w:bookmarkEnd w:id="416"/>
      <w:bookmarkEnd w:id="417"/>
      <w:r>
        <w:rPr>
          <w:rFonts w:ascii="Verdana" w:cs="Times New Roman" w:eastAsia="Times New Roman" w:hAnsi="Verdana"/>
          <w:b/>
          <w:bCs/>
          <w:caps/>
          <w:color w:val="0087AD"/>
          <w:sz w:val="17"/>
          <w:lang w:eastAsia="es-ES"/>
        </w:rPr>
        <w:t>ARTÍCULO 170.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Beneficiarios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Podrán solicitar la Tarjeta Profesional de la Construcción los trabajadores en alta, o en situación de incapacidad transitoria, que presten sus servicios en empresas encuadradas en el ámbito de aplicación del Convenio General del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Asimismo podrán solicitar la Tarjeta los trabajadores desempleados siempre que tengan acreditados, al menos, treinta días de alta en empresas encuadradas en el ámbito de aplicación del Convenio General del Sector de la Construcción en el período de treinta y seis meses inmediatamente anterior a la solicitud.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Sin perjuicio de lo dispuesto en los apartados anteriores, el Patronato de la Fundación Laboral de la Construcción podrá establecer la emisión de la Tarjeta sin necesidad de previa solicitud, con arreglo a los criterios que libremente determine.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todo caso será requisito imprescindible para la obtención de la Tarjeta haber recibido la formación inicial en materia de prevención de riesgos laborales, de acuerdo con lo previsto en 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Debido a la incidencia de la crisis económica en nuestro sector que ha conllevado un descenso en la actividad que puede impedir que trabajadores con experiencia en la construcción e interesados en obtener la TPC no puedan obtenerla por no reunir el requisito de haber trabajado en la construcción durante los últimos 36 meses, como medida excepcional, durante la vigencia del presente Convenio para estos trabajadores se amplía el plazo del requisito de haber trabajado en la construcción en los últimos 60 meses anteriores a la solicitud de la TPC.</w:t>
      </w:r>
    </w:p>
    <w:p>
      <w:pPr>
        <w:pStyle w:val="style0"/>
        <w:shd w:fill="FFFFFF" w:val="clear"/>
        <w:spacing w:after="28" w:before="28" w:line="300" w:lineRule="atLeast"/>
        <w:jc w:val="both"/>
      </w:pPr>
      <w:bookmarkStart w:id="418" w:name="SE222"/>
      <w:bookmarkEnd w:id="418"/>
      <w:r>
        <w:rPr>
          <w:rFonts w:ascii="Verdana" w:cs="Times New Roman" w:eastAsia="Times New Roman" w:hAnsi="Verdana"/>
          <w:b/>
          <w:bCs/>
          <w:color w:val="0087AD"/>
          <w:sz w:val="21"/>
          <w:lang w:eastAsia="es-ES"/>
        </w:rPr>
        <w:t>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Solicitud y tramitación</w:t>
      </w:r>
    </w:p>
    <w:p>
      <w:pPr>
        <w:pStyle w:val="style0"/>
        <w:shd w:fill="FFFFFF" w:val="clear"/>
        <w:spacing w:after="28" w:before="28" w:line="300" w:lineRule="atLeast"/>
        <w:jc w:val="both"/>
      </w:pPr>
      <w:bookmarkStart w:id="419" w:name="LOC_ART.171"/>
      <w:bookmarkStart w:id="420" w:name="SE223"/>
      <w:bookmarkEnd w:id="419"/>
      <w:bookmarkEnd w:id="420"/>
      <w:r>
        <w:rPr>
          <w:rFonts w:ascii="Verdana" w:cs="Times New Roman" w:eastAsia="Times New Roman" w:hAnsi="Verdana"/>
          <w:b/>
          <w:bCs/>
          <w:caps/>
          <w:color w:val="0087AD"/>
          <w:sz w:val="17"/>
          <w:lang w:eastAsia="es-ES"/>
        </w:rPr>
        <w:t>ARTÍCULO 171.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Solicitud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Tarjeta podrá solicitarse por el beneficiario en cualquier centro de la Fundación Laboral de la Construcción así como en las entidades con las que la Fundación haya suscrito el correspondiente convenio de colaboración para su tramitación.</w:t>
      </w:r>
    </w:p>
    <w:p>
      <w:pPr>
        <w:pStyle w:val="style0"/>
        <w:shd w:fill="FFFFFF" w:val="clear"/>
        <w:spacing w:after="28" w:before="28" w:line="300" w:lineRule="atLeast"/>
        <w:jc w:val="both"/>
      </w:pPr>
      <w:bookmarkStart w:id="421" w:name="LOC_ART.172"/>
      <w:bookmarkStart w:id="422" w:name="SE224"/>
      <w:bookmarkEnd w:id="421"/>
      <w:bookmarkEnd w:id="422"/>
      <w:r>
        <w:rPr>
          <w:rFonts w:ascii="Verdana" w:cs="Times New Roman" w:eastAsia="Times New Roman" w:hAnsi="Verdana"/>
          <w:b/>
          <w:bCs/>
          <w:caps/>
          <w:color w:val="0087AD"/>
          <w:sz w:val="17"/>
          <w:lang w:eastAsia="es-ES"/>
        </w:rPr>
        <w:t>ARTÍCULO 172.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Documentación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solicitud deberá realizarse utilizando el modelo que figura en el Anexo V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 la solicitud habrá de acompañarse obligatoriamente, además de una fotografía tamaño carné, una fotocopia del DNI o tarjeta de residencia del solicitante y un informe de la vida laboral emitido por la Tesorería General de la Seguridad Social dentro de los noventa días inmediatamente anteriores a la solicitud, y al menos uno de los siguientes documentos: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Certificado de empresa para la Fundación Laboral de la Construcción, expedido de acuerdo con el modelo que figura en el Anexo VI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Certificado de empresa para el Servicio Público de Empleo.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Original o fotocopia compulsada de recibos de salarios.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Original o fotocopia compulsada del contrato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Asimismo deberá aportarse original o fotocopia compulsada del diploma o certificado que acredite que el solicitante ha recibido al menos la formación inicial en materia de prevención de riesgos laborales, de acuerdo con lo previsto en el presente Convenio, expedido por la Fundación Laboral de la Construcción o por una entidad homologada según lo establecido en el presente capítulo.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Con carácter opcional podrán aportarse los siguientes documentos: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Original o fotocopia compulsada de certificados académicos expedidos por el Ministerio de Educación, el Ministerio de Empleo, las Comunidades Autónomas o cualquier otro organismo o entidad legalmente habilitados.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Fotocopia de diplomas o certificados académicos expedidos por la Fundación Laboral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Certificados relativos a la existencia de reconocimientos médicos expedidos por la entidad que los realizó.</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Otros.</w:t>
      </w:r>
    </w:p>
    <w:p>
      <w:pPr>
        <w:pStyle w:val="style0"/>
        <w:shd w:fill="FFFFFF" w:val="clear"/>
        <w:spacing w:after="28" w:before="28" w:line="300" w:lineRule="atLeast"/>
        <w:jc w:val="both"/>
      </w:pPr>
      <w:bookmarkStart w:id="423" w:name="LOC_ART.173"/>
      <w:bookmarkStart w:id="424" w:name="SE225"/>
      <w:bookmarkEnd w:id="423"/>
      <w:bookmarkEnd w:id="424"/>
      <w:r>
        <w:rPr>
          <w:rFonts w:ascii="Verdana" w:cs="Times New Roman" w:eastAsia="Times New Roman" w:hAnsi="Verdana"/>
          <w:b/>
          <w:bCs/>
          <w:caps/>
          <w:color w:val="0087AD"/>
          <w:sz w:val="17"/>
          <w:lang w:eastAsia="es-ES"/>
        </w:rPr>
        <w:t>ARTÍCULO 173.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Resolución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expediente de solicitud de la Tarjeta será resuelto por el Gerente del Consejo Territorial de la Fundación Laboral de la Construcción correspondiente al domicilio del trabajador solicitante. La resolución del expediente y la entrega, en su caso, de la Tarjeta a su titular se producirá en el plazo máximo de un mes contado desde que el solicitante haya aportado la documentación necesaria.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Frente a la resolución del expediente cabrá reclamación ante el correspondiente Consejo Territorial de la Fundación Laboral de la Construcción en el plazo de quince días desde su notificación.</w:t>
      </w:r>
    </w:p>
    <w:p>
      <w:pPr>
        <w:pStyle w:val="style0"/>
        <w:shd w:fill="FFFFFF" w:val="clear"/>
        <w:spacing w:after="28" w:before="28" w:line="300" w:lineRule="atLeast"/>
        <w:jc w:val="both"/>
      </w:pPr>
      <w:bookmarkStart w:id="425" w:name="LOC_ART.174"/>
      <w:bookmarkStart w:id="426" w:name="SE226"/>
      <w:bookmarkEnd w:id="425"/>
      <w:bookmarkEnd w:id="426"/>
      <w:r>
        <w:rPr>
          <w:rFonts w:ascii="Verdana" w:cs="Times New Roman" w:eastAsia="Times New Roman" w:hAnsi="Verdana"/>
          <w:b/>
          <w:bCs/>
          <w:caps/>
          <w:color w:val="0087AD"/>
          <w:sz w:val="17"/>
          <w:lang w:eastAsia="es-ES"/>
        </w:rPr>
        <w:t>ARTÍCULO 174.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Caducidad y renovación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Tarjeta Profesional de la Construcción caducará a los cinco años de su emisión.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Transcurrido dicho plazo, el titular podrá renovar su tarjeta siempre que acredite, al menos, treinta días de alta en empresas encuadradas en el ámbito de aplicación del Convenio General del Sector de la Construcción en el periodo de treinta y seis meses inmediatamente anterior a la solicitud de renovación.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solicitud de renovación se regirá por el mismo procedimiento que la solicitud inicial, debiendo el titular aportar, al menos, la documentación prevista en los apartados 1 y 2 del art. 172.</w:t>
      </w:r>
    </w:p>
    <w:p>
      <w:pPr>
        <w:pStyle w:val="style0"/>
        <w:shd w:fill="FFFFFF" w:val="clear"/>
        <w:spacing w:after="28" w:before="28" w:line="300" w:lineRule="atLeast"/>
        <w:jc w:val="both"/>
      </w:pPr>
      <w:bookmarkStart w:id="427" w:name="SE227"/>
      <w:bookmarkEnd w:id="427"/>
      <w:r>
        <w:rPr>
          <w:rFonts w:ascii="Verdana" w:cs="Times New Roman" w:eastAsia="Times New Roman" w:hAnsi="Verdana"/>
          <w:b/>
          <w:bCs/>
          <w:color w:val="0087AD"/>
          <w:sz w:val="21"/>
          <w:lang w:eastAsia="es-ES"/>
        </w:rPr>
        <w:t>SECCIÓN TERCERA.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Derechos y obligaciones del titular</w:t>
      </w:r>
    </w:p>
    <w:p>
      <w:pPr>
        <w:pStyle w:val="style0"/>
        <w:shd w:fill="FFFFFF" w:val="clear"/>
        <w:spacing w:after="28" w:before="28" w:line="300" w:lineRule="atLeast"/>
        <w:jc w:val="both"/>
      </w:pPr>
      <w:bookmarkStart w:id="428" w:name="LOC_ART.175"/>
      <w:bookmarkStart w:id="429" w:name="SE228"/>
      <w:bookmarkEnd w:id="428"/>
      <w:bookmarkEnd w:id="429"/>
      <w:r>
        <w:rPr>
          <w:rFonts w:ascii="Verdana" w:cs="Times New Roman" w:eastAsia="Times New Roman" w:hAnsi="Verdana"/>
          <w:b/>
          <w:bCs/>
          <w:caps/>
          <w:color w:val="0087AD"/>
          <w:sz w:val="17"/>
          <w:lang w:eastAsia="es-ES"/>
        </w:rPr>
        <w:t>ARTÍCULO 175.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Derechos del titular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posesión de la Tarjeta dará lugar a los derechos que se establezcan en el Convenio General del Sector de la Construcción y en los acuerdos sectoriales nacionales.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todo caso, el titular de la Tarjeta tendrá derecho a acceder a los datos que figuren en su expediente y a obtener certificaciones relativas a los mismos, las cuales podrá solicitar en cualquier centro de la Fundación Laboral de la Construcción o a través del sistema informático que será accesible a través de internet mediante clave personal.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Asimismo tendrá derecho a solicitar la modificación, rectificación o actualización de los datos que figuren en su expediente aportando, en su caso, la oportuna documentación acreditativa.</w:t>
      </w:r>
    </w:p>
    <w:p>
      <w:pPr>
        <w:pStyle w:val="style0"/>
        <w:shd w:fill="FFFFFF" w:val="clear"/>
        <w:spacing w:after="28" w:before="28" w:line="300" w:lineRule="atLeast"/>
        <w:jc w:val="both"/>
      </w:pPr>
      <w:bookmarkStart w:id="430" w:name="LOC_ART.176"/>
      <w:bookmarkStart w:id="431" w:name="SE229"/>
      <w:bookmarkEnd w:id="430"/>
      <w:bookmarkEnd w:id="431"/>
      <w:r>
        <w:rPr>
          <w:rFonts w:ascii="Verdana" w:cs="Times New Roman" w:eastAsia="Times New Roman" w:hAnsi="Verdana"/>
          <w:b/>
          <w:bCs/>
          <w:caps/>
          <w:color w:val="0087AD"/>
          <w:sz w:val="17"/>
          <w:lang w:eastAsia="es-ES"/>
        </w:rPr>
        <w:t>ARTÍCULO 176.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Obligaciones del titular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titular de la Tarjeta Profesional de la Construcción estará obligado 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Conservar la Tarjeta en perfecto estado.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Comunicar a la Fundación Laboral de la Construcción las posibles modificaciones de los datos relevantes que figuren en su expediente.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Comunicar a la Fundación Laboral de la Construcción, en su caso, el robo o extravío de la Tarjeta.</w:t>
      </w:r>
    </w:p>
    <w:p>
      <w:pPr>
        <w:pStyle w:val="style0"/>
        <w:shd w:fill="FFFFFF" w:val="clear"/>
        <w:spacing w:after="28" w:before="28" w:line="300" w:lineRule="atLeast"/>
        <w:jc w:val="both"/>
      </w:pPr>
      <w:bookmarkStart w:id="432" w:name="LOC_SEC.4"/>
      <w:bookmarkStart w:id="433" w:name="SE230"/>
      <w:bookmarkEnd w:id="432"/>
      <w:bookmarkEnd w:id="433"/>
      <w:r>
        <w:rPr>
          <w:rFonts w:ascii="Verdana" w:cs="Times New Roman" w:eastAsia="Times New Roman" w:hAnsi="Verdana"/>
          <w:b/>
          <w:bCs/>
          <w:color w:val="0087AD"/>
          <w:sz w:val="21"/>
          <w:lang w:eastAsia="es-ES"/>
        </w:rPr>
        <w:t>SECCIÓN CUARTA.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Homologación de entidades formativas</w:t>
      </w:r>
    </w:p>
    <w:p>
      <w:pPr>
        <w:pStyle w:val="style0"/>
        <w:shd w:fill="FFFFFF" w:val="clear"/>
        <w:spacing w:after="28" w:before="28" w:line="300" w:lineRule="atLeast"/>
        <w:jc w:val="both"/>
      </w:pPr>
      <w:bookmarkStart w:id="434" w:name="LOC_ART.177"/>
      <w:bookmarkStart w:id="435" w:name="SE231"/>
      <w:bookmarkEnd w:id="434"/>
      <w:bookmarkEnd w:id="435"/>
      <w:r>
        <w:rPr>
          <w:rFonts w:ascii="Verdana" w:cs="Times New Roman" w:eastAsia="Times New Roman" w:hAnsi="Verdana"/>
          <w:b/>
          <w:bCs/>
          <w:caps/>
          <w:color w:val="0087AD"/>
          <w:sz w:val="17"/>
          <w:lang w:eastAsia="es-ES"/>
        </w:rPr>
        <w:t>ARTÍCULO 177.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Requisitos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entidades que proyecten ser homologadas por la Fundación Laboral de la Construcción para impartir la formación en materia de prevención de riesgos laborales, de acuerdo con lo previsto en el Capítulo III del Libro II del presente Convenio, deberán reunir los siguientes requisitos: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Contar con los recursos humanos, materiales y didácticos que permitan llevar a cabo esta actividad formativa, en función del ámbito geográfico de actuación y del número de alumnos que se proyecte formar, según las necesidades concretas.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Disponer de una dotación de personal docente con una formación acreditada correspondiente a los niveles intermedio o superior de acuerdo con lo estipulado en el Real Decreto 39/1997, de 17 de enero, por el que se aprueba el Reglamento de los servicios de prevención, así como personal que posea la formación correspondiente a las funciones de coordinador en materia de seguridad y salud en obras de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Además, el citado personal será conocedor de las técnicas preventivas específicas aplicables al sector de la construcción y contará con una experiencia acreditada en este ámbito.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Aplicar los contenidos didácticos que se aprueben por la Fundación Laboral de la Construcción, a fin de garantizar la homogeneidad de la actividad formativa a desarrollar.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Adoptar las condiciones que se establezcan por parte de la Fundación Laboral de la Construcción respecto a horas lectivas, número de alumnos máximo por grupo y realización de pruebas de evaluación.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Contar, en su caso, con la acreditación u homologación exigible por parte de la autoridad laboral competente.</w:t>
      </w:r>
    </w:p>
    <w:p>
      <w:pPr>
        <w:pStyle w:val="style0"/>
        <w:shd w:fill="FFFFFF" w:val="clear"/>
        <w:spacing w:after="28" w:before="28" w:line="300" w:lineRule="atLeast"/>
        <w:jc w:val="both"/>
      </w:pPr>
      <w:bookmarkStart w:id="436" w:name="LOC_ART.178"/>
      <w:bookmarkStart w:id="437" w:name="SE232"/>
      <w:bookmarkEnd w:id="436"/>
      <w:bookmarkEnd w:id="437"/>
      <w:r>
        <w:rPr>
          <w:rFonts w:ascii="Verdana" w:cs="Times New Roman" w:eastAsia="Times New Roman" w:hAnsi="Verdana"/>
          <w:b/>
          <w:bCs/>
          <w:caps/>
          <w:color w:val="0087AD"/>
          <w:sz w:val="17"/>
          <w:lang w:eastAsia="es-ES"/>
        </w:rPr>
        <w:t>ARTÍCULO 178.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Procedimiento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entidades interesadas en ser acreditadas deberán presentar una solicitud a la Fundación Laboral de la Construcción. Junto con la citada solicitud entregarán una memoria explicativa de la actividad en la que deberán constar los siguientes datos: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Plan de actuación.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Ámbito territorial de actuación.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Programación anual, haciendo referencia al número de trabajadores a los que se pretende formar.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Dotación de personal y grado de dedicación para el desarrollo de la actividad formativa, indicando su cualificación y experiencia profesional, así como su formación en prevención de riesgos laborales, tanto general como relacionada con el sector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Sistema de evaluación interna de la calidad de la docencia a impartir.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Ubicación y detalle de las instalaciones (centros, locales,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Descripción de los medios materiales, didácticos e instrumentales que se van a dedicar a esta actividad.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Evaluada la memoria explicativa, la Comisión Ejecutiva de la Fundación Laboral de la Construcción resolverá la solicitud en el plazo de dos meses, aprobando o denegando la homologación.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cualquier momento del expediente la Fundación Laboral de la Construcción podrá requerir a la entidad solicitante la presentación de documentación adicional y la subsanación de deficiencias. Este requerimiento interrumpirá el plazo previsto en el párrafo anterior. Transcurridos quince días naturales desde dicho requerimiento sin que el mismo hubiera sido debidamente atendido, la Comisión Ejecutiva podrá archivar el expediente, entendiéndose denegada la solicitud.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 Fundación Laboral de la Construcción creará un registro en el que serán inscritas las entidades que lleven a cabo esta actividad formativa.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Las entidades acreditadas deberán mantener las condiciones en las que se basó su acreditación. Cualquier modificación de las mismas será comunicada a la Fundación Laboral de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La Fundación Laboral de la Construcción podrá verificar el cumplimiento de las condiciones establecidas para el desarrollo de la actividad formativa.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En cualquier caso, la Fundación Laboral de la Construcción se reserva el derecho a dejar sin efecto la acreditación, cuando se observen situaciones contrarias a las condiciones que dieron lugar a su concesión.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Cuando se haya procedido a la retirada de la acreditación de alguna entidad homologada a efectos de la TPC, la misma afectará también a aquellas entidades de las que, por razón de las personas que la rigen o de otras circunstancias, pueda presumirse que son continuación o que derivan, por transformación, fusión o sucesión de otras entidades en las que hubiesen concurrido aquéllas.</w:t>
      </w:r>
    </w:p>
    <w:p>
      <w:pPr>
        <w:pStyle w:val="style0"/>
        <w:shd w:fill="FFFFFF" w:val="clear"/>
        <w:spacing w:after="28" w:before="28" w:line="300" w:lineRule="atLeast"/>
        <w:jc w:val="both"/>
      </w:pPr>
      <w:bookmarkStart w:id="438" w:name="LOC_ART.179"/>
      <w:bookmarkStart w:id="439" w:name="SE233"/>
      <w:bookmarkEnd w:id="438"/>
      <w:bookmarkEnd w:id="439"/>
      <w:r>
        <w:rPr>
          <w:rFonts w:ascii="Verdana" w:cs="Times New Roman" w:eastAsia="Times New Roman" w:hAnsi="Verdana"/>
          <w:b/>
          <w:bCs/>
          <w:caps/>
          <w:color w:val="0087AD"/>
          <w:sz w:val="17"/>
          <w:lang w:eastAsia="es-ES"/>
        </w:rPr>
        <w:t>ARTÍCULO 179.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Tramitación de la Tarjeta Profesional de la Construcción en el ámbito territorial del Principado de Asturias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tramitación de las solicitudes de Tarjeta Profesional de la Construcción que se produzcan en el ámbito territorial de la Comunidad Autónoma del Principado de Asturias se realizará por la Fundación Laboral de la Construcción del Principado de Asturias siguiendo el procedimiento establecido en la Sección 2ª del Capítulo IV del Título III del Libro II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órgano competente para la resolución del expediente de solicitud y el procedimiento para la incorporación de los datos al sistema serán los que se establezcan en el protocolo de actuación que a tal efecto acuerden la Fundación Laboral de la Construcción y la Fundación Laboral de la Construcción del Principado de Asturias.</w:t>
      </w:r>
    </w:p>
    <w:p>
      <w:pPr>
        <w:pStyle w:val="style0"/>
        <w:shd w:fill="FFFFFF" w:val="clear"/>
        <w:spacing w:after="28" w:before="28" w:line="300" w:lineRule="atLeast"/>
        <w:jc w:val="both"/>
      </w:pPr>
      <w:bookmarkStart w:id="440" w:name="LOC_TIT.4"/>
      <w:bookmarkStart w:id="441" w:name="SE234"/>
      <w:bookmarkEnd w:id="440"/>
      <w:bookmarkEnd w:id="441"/>
      <w:r>
        <w:rPr>
          <w:rFonts w:ascii="Verdana" w:cs="Times New Roman" w:eastAsia="Times New Roman" w:hAnsi="Verdana"/>
          <w:b/>
          <w:bCs/>
          <w:color w:val="0087AD"/>
          <w:sz w:val="21"/>
          <w:lang w:eastAsia="es-ES"/>
        </w:rPr>
        <w:t>TÍTULO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MÍNIMAS DE SEGURIDAD Y SALUD APLICABLES EN LAS OBRAS DE CONSTRUCCIÓN</w:t>
      </w:r>
    </w:p>
    <w:p>
      <w:pPr>
        <w:pStyle w:val="style0"/>
        <w:shd w:fill="FFFFFF" w:val="clear"/>
        <w:spacing w:after="28" w:before="28" w:line="300" w:lineRule="atLeast"/>
        <w:jc w:val="both"/>
      </w:pPr>
      <w:bookmarkStart w:id="442" w:name="LOC_CAP.1"/>
      <w:bookmarkStart w:id="443" w:name="SE235"/>
      <w:bookmarkEnd w:id="442"/>
      <w:bookmarkEnd w:id="443"/>
      <w:r>
        <w:rPr>
          <w:rFonts w:ascii="Verdana" w:cs="Times New Roman" w:eastAsia="Times New Roman" w:hAnsi="Verdana"/>
          <w:b/>
          <w:bCs/>
          <w:color w:val="0087AD"/>
          <w:sz w:val="21"/>
          <w:lang w:eastAsia="es-ES"/>
        </w:rPr>
        <w:t>CAPÍTULO PRIMERO.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w:t>
      </w:r>
    </w:p>
    <w:p>
      <w:pPr>
        <w:pStyle w:val="style0"/>
        <w:shd w:fill="FFFFFF" w:val="clear"/>
        <w:spacing w:after="28" w:before="28" w:line="300" w:lineRule="atLeast"/>
        <w:jc w:val="both"/>
      </w:pPr>
      <w:bookmarkStart w:id="444" w:name="LOC_ART.180"/>
      <w:bookmarkStart w:id="445" w:name="SE236"/>
      <w:bookmarkEnd w:id="444"/>
      <w:bookmarkEnd w:id="445"/>
      <w:r>
        <w:rPr>
          <w:rFonts w:ascii="Verdana" w:cs="Times New Roman" w:eastAsia="Times New Roman" w:hAnsi="Verdana"/>
          <w:b/>
          <w:bCs/>
          <w:caps/>
          <w:color w:val="0087AD"/>
          <w:sz w:val="17"/>
          <w:lang w:eastAsia="es-ES"/>
        </w:rPr>
        <w:t>ARTÍCULO 180.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Estabilidad y solidez de materiales y equipos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Deberá procurarse, de modo apropiado y seguro, la estabilidad de los materiales y equipos y, en general, de cualquier elemento que en desplazamientos pudiera afectar a la seguridad y la salud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Deberá verificarse, igualmente, de manera apropiada la estabilidad y la solidez, especialmente después de cualquier modificación de la altura o de la profundidad del puesto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puestos de trabajo móviles o fijos situados por encima o por debajo del nivel del suelo deberán ser sólidos y estables teniendo en cuenta: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número de trabajadores que los ocupen.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cargas máximas que, en su caso, puedan tener que soportar, así como su distribución.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factores externos que pudieran afectarles.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Los encofrados, los soportes temporales y los apuntalamientos deberán proyectarse, calcularse, montarse y mantenerse de manera que puedan soportar sin riesgo las cargas a las que sean sometidos.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Las estructuras metálicas o de hormigón y sus elementos, los encofrados, las piezas prefabricadas pesadas o los soportes temporales y los apuntalamientos sólo se podrán montar o desmontar bajo vigilancia, control y dirección del personal competente.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Deberán adoptarse las medidas necesarias para proteger a los trabajadores contra los peligros derivados de la fragilidad o inestabilidad temporal de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El acceso a cualquier superficie que conste de materiales que no ofrezcan una resistencia suficiente sólo se autorizará en caso de que se proporcionen equipos o medios apropiados para que el trabajo se realice de manera segura.</w:t>
      </w:r>
    </w:p>
    <w:p>
      <w:pPr>
        <w:pStyle w:val="style0"/>
        <w:shd w:fill="FFFFFF" w:val="clear"/>
        <w:spacing w:after="28" w:before="28" w:line="300" w:lineRule="atLeast"/>
        <w:jc w:val="both"/>
      </w:pPr>
      <w:bookmarkStart w:id="446" w:name="LOC_ART.181"/>
      <w:bookmarkStart w:id="447" w:name="SE237"/>
      <w:bookmarkEnd w:id="446"/>
      <w:bookmarkEnd w:id="447"/>
      <w:r>
        <w:rPr>
          <w:rFonts w:ascii="Verdana" w:cs="Times New Roman" w:eastAsia="Times New Roman" w:hAnsi="Verdana"/>
          <w:b/>
          <w:bCs/>
          <w:caps/>
          <w:color w:val="0087AD"/>
          <w:sz w:val="17"/>
          <w:lang w:eastAsia="es-ES"/>
        </w:rPr>
        <w:t>ARTÍCULO 181.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Protección contra el riesgo de caídas de altura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plataformas, andamios y pasarelas, así como los desniveles, huecos y aberturas existentes en los pisos de las obras que supongan para los trabajadores un riesgo de caída de altura superior a 2 metros, se protegerán mediante barandillas u otro sistema de protección colectiva de seguridad equivalente.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trabajos en altura sólo podrán efectuarse, en principio, con la ayuda de equipos concebidos para tal fin o utilizando dispositivos de protección colectiva, tales como barandillas, plataformas o redes de seguridad. Si por la naturaleza del trabajo ello no fuera posible, deberá disponerse de medios de acceso seguros y utilizarse sistemas anticaídas u otros medios de protección equivalente.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los trabajos en tejados deberán adoptarse las medidas de protección colectiva que sean necesarias, en atención a la altura, inclinación o posible carácter o estado resbaladizo, para evitar la caída de trabajadores, herramientas o materiales. Asimismo, cuando haya que trabajar sobre o cerca de superficies frágiles, se deberán tomar las medidas preventivas adecuadas para evitar que los trabajadores las pisen inadvertidamente o caigan a través suyo.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Para evitar las caídas en los trabajos de reparación y mantenimiento de cubiertas, antenas, pararrayos, etc. se dispondrán las medidas de protección necesarias en cada caso, tales como petos perimetrales, ganchos o arneses,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Cuando por la naturaleza del trabajo temporal en altura (trabajos en conductos de evacuación de humos, torres, postes, antenas elevadas, chimeneas de fábrica, etc.) no fuera posible utilizar barandillas u otro sistema de protección colectiva, deberá disponerse de medios de acceso seguros como cinturones de seguridad con anclaje u otros medios de protección equivalente.</w:t>
      </w:r>
    </w:p>
    <w:p>
      <w:pPr>
        <w:pStyle w:val="style0"/>
        <w:shd w:fill="FFFFFF" w:val="clear"/>
        <w:spacing w:after="28" w:before="28" w:line="300" w:lineRule="atLeast"/>
        <w:jc w:val="both"/>
      </w:pPr>
      <w:bookmarkStart w:id="448" w:name="LOC_ART.182"/>
      <w:bookmarkStart w:id="449" w:name="SE238"/>
      <w:bookmarkEnd w:id="448"/>
      <w:bookmarkEnd w:id="449"/>
      <w:r>
        <w:rPr>
          <w:rFonts w:ascii="Verdana" w:cs="Times New Roman" w:eastAsia="Times New Roman" w:hAnsi="Verdana"/>
          <w:b/>
          <w:bCs/>
          <w:caps/>
          <w:color w:val="0087AD"/>
          <w:sz w:val="17"/>
          <w:lang w:eastAsia="es-ES"/>
        </w:rPr>
        <w:t>ARTÍCULO 182.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Vías de circulación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vías de circulación, incluidas las escaleras, las escalas fijas y los muelles y rampas de carga deberán estar calculados, situados, acondicionados y preparados para su uso de manera que se puedan utilizar fácilmente, con toda seguridad y conforme al uso al que se les haya destinado y de forma que los trabajadores empleados en las proximidades de estas vías de circulación no corran riesgo alguno.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plataformas de trabajo, las pasarelas y las escaleras de comunicación deberán construirse, protegerse y utilizarse de forma que se evite que las personas caigan o estén expuestas a caídas de objetos. Sus medidas se ajustarán al número de trabajadores que deban utilizarlas.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El piso de las plataformas, andamios y pasarelas deberá estar conformado por materiales sólidos de una anchura mínima total de 60 centímetros, de forma que resulte garantizada la seguridad del personal que circule por ellas.</w:t>
      </w:r>
    </w:p>
    <w:p>
      <w:pPr>
        <w:pStyle w:val="style0"/>
        <w:shd w:fill="FFFFFF" w:val="clear"/>
        <w:spacing w:after="28" w:before="28" w:line="300" w:lineRule="atLeast"/>
        <w:jc w:val="both"/>
      </w:pPr>
      <w:bookmarkStart w:id="450" w:name="LOC_ART.183"/>
      <w:bookmarkStart w:id="451" w:name="SE239"/>
      <w:bookmarkEnd w:id="450"/>
      <w:bookmarkEnd w:id="451"/>
      <w:r>
        <w:rPr>
          <w:rFonts w:ascii="Verdana" w:cs="Times New Roman" w:eastAsia="Times New Roman" w:hAnsi="Verdana"/>
          <w:b/>
          <w:bCs/>
          <w:caps/>
          <w:color w:val="0087AD"/>
          <w:sz w:val="17"/>
          <w:lang w:eastAsia="es-ES"/>
        </w:rPr>
        <w:t>ARTÍCULO 183.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Protección contra el riesgo de caídas de objetos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trabajadores deberán estar protegidos contra la caída de objetos o materiales; para ello se utilizarán, siempre que sea técnicamente posible, medidas de protección colectiva.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Cuando sea necesario, se establecerán pasos cubiertos o se impedirá el acceso a las zonas peligrosas.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materiales de acopio, equipos y herramientas de trabajo deberán colocarse o almacenarse de forma que se evite su desplome, caída, vuelco o desprendimiento del terreno adyacente.</w:t>
      </w:r>
    </w:p>
    <w:p>
      <w:pPr>
        <w:pStyle w:val="style0"/>
        <w:shd w:fill="FFFFFF" w:val="clear"/>
        <w:spacing w:after="28" w:before="28" w:line="300" w:lineRule="atLeast"/>
        <w:jc w:val="both"/>
      </w:pPr>
      <w:bookmarkStart w:id="452" w:name="LOC_ART.184"/>
      <w:bookmarkStart w:id="453" w:name="SE240"/>
      <w:bookmarkEnd w:id="452"/>
      <w:bookmarkEnd w:id="453"/>
      <w:r>
        <w:rPr>
          <w:rFonts w:ascii="Verdana" w:cs="Times New Roman" w:eastAsia="Times New Roman" w:hAnsi="Verdana"/>
          <w:b/>
          <w:bCs/>
          <w:caps/>
          <w:color w:val="0087AD"/>
          <w:sz w:val="17"/>
          <w:lang w:eastAsia="es-ES"/>
        </w:rPr>
        <w:t>ARTÍCULO 184.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Iluminación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lugares de trabajo, los locales interiores y las vías de circulación en la obra deberán disponer, en la medida de lo posible, de suficiente luz natural, complementada con luz artificial cuando no sea suficiente. En su caso, se utilizarán puntos de iluminación portátiles con protección antichoques. El color utilizado para la iluminación artificial no podrá alterar o influir en la percepción de las señales o paneles de señalización.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instalaciones de iluminación de los locales, de los puestos de trabajo y de las vías de circulación deberán estar colocadas de tal manera que el tipo de iluminación previsto no suponga riesgo de accidente para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locales, los lugares de trabajo y las vías de circulación en los que los trabajadores estén particularmente expuestos a riesgos en caso de avería de la iluminación artificial, deberán poseer una iluminación de seguridad.</w:t>
      </w:r>
    </w:p>
    <w:p>
      <w:pPr>
        <w:pStyle w:val="style0"/>
        <w:shd w:fill="FFFFFF" w:val="clear"/>
        <w:spacing w:after="28" w:before="28" w:line="300" w:lineRule="atLeast"/>
        <w:jc w:val="both"/>
      </w:pPr>
      <w:bookmarkStart w:id="454" w:name="LOC_ART.185"/>
      <w:bookmarkStart w:id="455" w:name="SE241"/>
      <w:bookmarkEnd w:id="454"/>
      <w:bookmarkEnd w:id="455"/>
      <w:r>
        <w:rPr>
          <w:rFonts w:ascii="Verdana" w:cs="Times New Roman" w:eastAsia="Times New Roman" w:hAnsi="Verdana"/>
          <w:b/>
          <w:bCs/>
          <w:caps/>
          <w:color w:val="0087AD"/>
          <w:sz w:val="17"/>
          <w:lang w:eastAsia="es-ES"/>
        </w:rPr>
        <w:t>ARTÍCULO 185.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Factores atmosféricos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Deberá protegerse a los trabajadores contra las inclemencias atmosféricas que puedan comprometer su seguridad y su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las temperaturas sean extremas, especialmente en las conocidas «olas de calor» causantes de graves consecuencias para la salud, por parte de la representación sindical se podrán proponer horarios distintos que permitan evitar las horas de mayor insolación.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Asimismo, se dispondrá en las obras de cremas protectoras de factor suficiente contra las inclemencias atmosféricas tales como la irradiación solar.</w:t>
      </w:r>
    </w:p>
    <w:p>
      <w:pPr>
        <w:pStyle w:val="style0"/>
        <w:shd w:fill="FFFFFF" w:val="clear"/>
        <w:spacing w:after="28" w:before="28" w:line="300" w:lineRule="atLeast"/>
        <w:jc w:val="both"/>
      </w:pPr>
      <w:bookmarkStart w:id="456" w:name="LOC_ART.186"/>
      <w:bookmarkStart w:id="457" w:name="SE242"/>
      <w:bookmarkEnd w:id="456"/>
      <w:bookmarkEnd w:id="457"/>
      <w:r>
        <w:rPr>
          <w:rFonts w:ascii="Verdana" w:cs="Times New Roman" w:eastAsia="Times New Roman" w:hAnsi="Verdana"/>
          <w:b/>
          <w:bCs/>
          <w:caps/>
          <w:color w:val="0087AD"/>
          <w:sz w:val="17"/>
          <w:lang w:eastAsia="es-ES"/>
        </w:rPr>
        <w:t>ARTÍCULO 186.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Detección y lucha contra incendios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Según las características de la obra y según la dimensiones y el uso de los locales existentes, los equipos presentes, las características físicas y químicas de las sustancias o materiales que se hallen presentes, así como el número máximo de personas que puedan hallarse en ellos, se deberá prever en el plan de prevención de un número suficiente de dispositivos apropiados de lucha contra incendios.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Dichos dispositivos deberán verificarse y mantenerse con regularidad.</w:t>
      </w:r>
    </w:p>
    <w:p>
      <w:pPr>
        <w:pStyle w:val="style0"/>
        <w:shd w:fill="FFFFFF" w:val="clear"/>
        <w:spacing w:after="28" w:before="28" w:line="300" w:lineRule="atLeast"/>
        <w:jc w:val="both"/>
      </w:pPr>
      <w:bookmarkStart w:id="458" w:name="LOC_ART.187"/>
      <w:bookmarkStart w:id="459" w:name="SE243"/>
      <w:bookmarkEnd w:id="458"/>
      <w:bookmarkEnd w:id="459"/>
      <w:r>
        <w:rPr>
          <w:rFonts w:ascii="Verdana" w:cs="Times New Roman" w:eastAsia="Times New Roman" w:hAnsi="Verdana"/>
          <w:b/>
          <w:bCs/>
          <w:caps/>
          <w:color w:val="0087AD"/>
          <w:sz w:val="17"/>
          <w:lang w:eastAsia="es-ES"/>
        </w:rPr>
        <w:t>ARTÍCULO 187.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Exposición a riesgos particulares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trabajadores no deberán estar expuestos a niveles sonoros nocivos ni a factores externos nocivos, tales como, gases, vapores, polvo, amianto, vibraciones,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el caso de que algunos trabajadores deban penetrar en alguna zona cuya atmósfera pudiera contener sustancias tóxicas o nocivas, o no tener oxígeno en cantidad suficiente o ser inflamable, la atmósfera confinada deberá ser controlada y se deberán adoptar medidas adecuadas para prevenir cualquier peligro.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ningún caso podrá exponerse a un trabajador a una atmósfera confinada de alto riesgo. Deberá quedar al menos bajo vigilancia permanente desde el exterior y deberán tomarse todas las debidas precauciones para que se le pueda prestar auxilio eficaz e inmediato.</w:t>
      </w:r>
    </w:p>
    <w:p>
      <w:pPr>
        <w:pStyle w:val="style0"/>
        <w:shd w:fill="FFFFFF" w:val="clear"/>
        <w:spacing w:after="28" w:before="28" w:line="300" w:lineRule="atLeast"/>
        <w:jc w:val="both"/>
      </w:pPr>
      <w:bookmarkStart w:id="460" w:name="LOC_CAP.2"/>
      <w:bookmarkStart w:id="461" w:name="SE244"/>
      <w:bookmarkEnd w:id="460"/>
      <w:bookmarkEnd w:id="461"/>
      <w:r>
        <w:rPr>
          <w:rFonts w:ascii="Verdana" w:cs="Times New Roman" w:eastAsia="Times New Roman" w:hAnsi="Verdana"/>
          <w:b/>
          <w:bCs/>
          <w:color w:val="0087AD"/>
          <w:sz w:val="21"/>
          <w:lang w:eastAsia="es-ES"/>
        </w:rPr>
        <w:t>CAPÍTULO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ANDAMIOS</w:t>
      </w:r>
    </w:p>
    <w:p>
      <w:pPr>
        <w:pStyle w:val="style0"/>
        <w:shd w:fill="FFFFFF" w:val="clear"/>
        <w:spacing w:after="28" w:before="28" w:line="300" w:lineRule="atLeast"/>
        <w:jc w:val="both"/>
      </w:pPr>
      <w:bookmarkStart w:id="462" w:name="SE245"/>
      <w:bookmarkEnd w:id="462"/>
      <w:r>
        <w:rPr>
          <w:rFonts w:ascii="Verdana" w:cs="Times New Roman" w:eastAsia="Times New Roman" w:hAnsi="Verdana"/>
          <w:b/>
          <w:bCs/>
          <w:color w:val="0087AD"/>
          <w:sz w:val="21"/>
          <w:lang w:eastAsia="es-ES"/>
        </w:rPr>
        <w:t>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w:t>
      </w:r>
    </w:p>
    <w:p>
      <w:pPr>
        <w:pStyle w:val="style0"/>
        <w:shd w:fill="FFFFFF" w:val="clear"/>
        <w:spacing w:after="28" w:before="28" w:line="300" w:lineRule="atLeast"/>
        <w:jc w:val="both"/>
      </w:pPr>
      <w:bookmarkStart w:id="463" w:name="LOC_ART.188"/>
      <w:bookmarkStart w:id="464" w:name="SE246"/>
      <w:bookmarkEnd w:id="463"/>
      <w:bookmarkEnd w:id="464"/>
      <w:r>
        <w:rPr>
          <w:rFonts w:ascii="Verdana" w:cs="Times New Roman" w:eastAsia="Times New Roman" w:hAnsi="Verdana"/>
          <w:b/>
          <w:bCs/>
          <w:caps/>
          <w:color w:val="0087AD"/>
          <w:sz w:val="17"/>
          <w:lang w:eastAsia="es-ES"/>
        </w:rPr>
        <w:t>ARTÍCULO 188.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 de utilización de los andamios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Todo andamio deberá cumplir las condiciones generales respecto a materiales, estabilidad, resistencia, seguridad en el trabajo y seguridad general, y las particulares referentes a la clase a la que el andamio corresponda, especificadas en el Real Decreto 1215/1997, de 18 de julio, modificado por el Real Decreto 2177/2004, de 12 de noviembre, por lo que respecta a su utilización.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Entre otras condiciones generales cabe citar las siguientes: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andamios y sus elementos deberán estar estabilizados por fijación o por otros medios. Los andamios cuya utilización prevista requiera que los trabajadores se sitúen sobre ellos deberán disponer de los medios adecuados para garantizar que el acceso y permanencia en esos equipos no suponga un riesgo para su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particular, cuando exista un riesgo de caída de altura de más de 2 metros, los andamios deberán disponer de barandillas o de cualquier otro sistema de protección colectiva que proporcione una seguridad equivalente. Las barandillas deberán ser resistentes, de una altura mínima de 90 centímetros y de una protección intermedia y de un rodapié. Resultan aconsejables las barandillas de 1 metro de altura.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Los dispositivos de protección colectiva contra caídas del andamio sólo podrán interrumpirse en los puntos de acceso a una escalera o a una escalera de mano.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Cuando el acceso al andamio o la ejecución de una tarea particular exija la retirada temporal de un dispositivo de protección colectiva contra caídas, deberán preverse medidas compensatorias y eficaces de seguridad, que se especificarán en la planificación de la actividad preventiva. No podrá ejecutarse el trabajo sin la adopción previa de dichas medidas. Una vez concluido este trabajo particular, ya sea de forma definitiva o temporal, se volverán a colocar en su lugar los dispositivos de protección colectiva contra caídas.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Los andamios deberán tener la resistencia y los elementos necesarios de apoyo o sujeción, o ambos, para que su utilización en las condiciones para las que han sido diseñados no suponga un riesgo de caída por rotura o desplazamiento.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Las plataformas que forman el piso del andamio se dispondrán de modo que no puedan moverse ni dar lugar al basculamiento, deslizamiento o cualquier otro movimiento peligroso. La anchura será la precisa para la fácil circulación de los trabajadores y el adecuado almacenamiento de los útiles, herramientas y materiales imprescindibles para el trabajo a realizar en aquel lugar.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g) No se almacenarán sobre los andamios más materiales que los necesarios para asegurar la continuidad del trabajo y, al fin de la jornada de trabajo, se procurará que sea el mínimo el peso el depositado en ellos.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h) A fin de evitar caídas entre los andamios y los paramentos de la obra en ejecución, deberán colocarse tablones o chapados, según la índole de los elementos a emplear en los trabajos, cuajando los espacios que queden libres entre los citados paramentos y el andamiaje -situados en el nivel inmediatamente inferior a aquel en que se lleve a efecto el trabajo- sin que en ningún caso pueda exceder la distancia entre este tope y el nivel del trabajo de 1,80 metros.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 Los andamios deberán ser instalados y utilizados de forma que no puedan caer, volcar o desplazarse de forma incontrolada, poniendo en peligro la seguridad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 Los andamios no deberán utilizarse de forma o en operaciones o en condiciones contraindicadas o no previstas por el fabricante. Tampoco podrán utilizarse sin los elementos de protección indicados para la realización de la operación de que se trate. Los andamios sólo podrán utilizarse excepcionalmente de forma o en operaciones o en condiciones no consideradas por el fabricante, si previamente se ha realizado una evaluación de los riesgos que ello conllevaría y se han tomado las medidas pertinentes para su eliminación o control.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k) Antes de utilizar un andamio se comprobará que sus protecciones y condiciones de uso son las adecuadas y que su montaje y utilización no representa un peligro para los trabajadores o terceros.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 Los andamios dejarán de utilizarse si se producen deterioros por inclemencias o transcurso del tiempo, u otras circunstancias que comprometan la seguridad de su funcionamiento.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m) Las dimensiones, la forma y la disposición de las plataformas de un andamio deberán ser apropiadas para el tipo de trabajo que se va a realizar, ser adecuadas a las cargas que hayan de soportar y permitir que se trabaje y circule en ellas con seguridad. Las plataformas de los andamios se montarán de tal forma que sus componentes no se desplacen en una utilización normal de ellos. No deberá existir ningún vacío peligroso entre los componentes de las plataformas y los dispositivos verticales de protección colectiva contra caídas.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 El acceso a las plataformas de los andamios deberá realizarse normalmente a través de módulos de escaleras de servicio adosadas a los laterales, o bien estando las escaleras integradas en el propio andamio. En ningún caso está permitido trepar por los travesaños de la estructura del andamio.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o) Los elementos de apoyo de un andamio deberán estar protegidos contra el riesgo de deslizamiento, ya sea mediante sujeción en la superficie de apoyo, ya sea mediante un dispositivo antideslizante, o bien mediante cualquier otra solución de eficacia equivalente, y la superficie portante deberá tener una capacidad suficiente. Se deberá garantizar la estabilidad del andamio. Deberá impedirse mediante dispositivos adecuados el desplazamiento inesperado de los andamios móviles cuando se están realizando trabajos en altura.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 El piso de las plataformas, andamios y pasarelas deberá estar conformado por materiales sólidos de una anchura mínima total de 60 centímetros, de forma que resulte garantizada la seguridad del personal que circule con ellos.</w:t>
      </w:r>
    </w:p>
    <w:p>
      <w:pPr>
        <w:pStyle w:val="style0"/>
        <w:shd w:fill="FFFFFF" w:val="clear"/>
        <w:spacing w:after="28" w:before="28" w:line="300" w:lineRule="atLeast"/>
        <w:jc w:val="both"/>
      </w:pPr>
      <w:bookmarkStart w:id="465" w:name="LOC_ART.189"/>
      <w:bookmarkStart w:id="466" w:name="SE247"/>
      <w:bookmarkEnd w:id="465"/>
      <w:bookmarkEnd w:id="466"/>
      <w:r>
        <w:rPr>
          <w:rFonts w:ascii="Verdana" w:cs="Times New Roman" w:eastAsia="Times New Roman" w:hAnsi="Verdana"/>
          <w:b/>
          <w:bCs/>
          <w:caps/>
          <w:color w:val="0087AD"/>
          <w:sz w:val="17"/>
          <w:lang w:eastAsia="es-ES"/>
        </w:rPr>
        <w:t>ARTÍCULO 189.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Resistencia y estabilidad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el andamio no disponga de nota de cálculo o cuando las configuraciones estructurales previstas no estén contempladas en ella, deberá efectuarse un cálculo de resistencia y estabilidad, a menos que el andamio esté montado según una configuración tipo generalmente reconocida. Dicho cálculo deberá ser realizado por una persona con una formación universitaria que lo habilite para la realización de estas actividades.</w:t>
      </w:r>
    </w:p>
    <w:p>
      <w:pPr>
        <w:pStyle w:val="style0"/>
        <w:shd w:fill="FFFFFF" w:val="clear"/>
        <w:spacing w:after="28" w:before="28" w:line="300" w:lineRule="atLeast"/>
        <w:jc w:val="both"/>
      </w:pPr>
      <w:bookmarkStart w:id="467" w:name="LOC_ART.190"/>
      <w:bookmarkStart w:id="468" w:name="SE248"/>
      <w:bookmarkEnd w:id="467"/>
      <w:bookmarkEnd w:id="468"/>
      <w:r>
        <w:rPr>
          <w:rFonts w:ascii="Verdana" w:cs="Times New Roman" w:eastAsia="Times New Roman" w:hAnsi="Verdana"/>
          <w:b/>
          <w:bCs/>
          <w:caps/>
          <w:color w:val="0087AD"/>
          <w:sz w:val="17"/>
          <w:lang w:eastAsia="es-ES"/>
        </w:rPr>
        <w:t>ARTÍCULO 190.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Plan de montaje, de utilización y de desmontaje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función de la complejidad del andamio elegido, deberá elaborarse un plan de montaje, de utilización y de desmontaje. Este plan deberá ser realizado por una persona con una formación universitaria que lo habilite para la realización de estas actividades.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Este plan podrá adoptar la forma de un plan de aplicación generalizada, completado con elementos correspondientes a los detalles específicos del andamio de que se trate.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 los efectos de lo dispuesto en el apartado anterior, el plan de montaje, de utilización y de desmontaje será obligatorio en los siguientes tipos de andamios: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Plataformas suspendidas de nivel variable (de accionamiento manual o motorizado), instaladas temporalmente sobre un edificio o una estructura para tareas específicas, y plataformas elevadoras sobre mástil.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Andamios constituidos con elementos prefabricados apoyados sobre terreno natural, soleras de hormigón, forjados, voladizos u otros elementos cuya altura, desde el nivel inferior de apoyo hasta la coronación de la andamiada, exceda de 6 metros o dispongan de elementos horizontales que salven vuelos y distancias superiores entre apoyos de más de 8 metros. Se exceptúan los andamios de caballetes o borriquetas.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Andamios instalados en el exterior, sobre azoteas, cúpulas, tejados o estructuras superiores cuya distancia entre el nivel de apoyo y el nivel del terreno o del suelo exceda de 24 metros de altura.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Torres de acceso y torres de trabajo móviles en los que los trabajos se efectúen a más de 6 metros de altura desde el punto de operación hasta el suelo.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Sin embargo, cuando se trate de andamios que, a pesar de estar incluidos entre los anteriormente citados, dispongan del marcado «CE» (p. ej. plataformas suspendidas de nivel variable, plataformas elevadoras sobre mástil), por serles de aplicación una normativa específica en materia de comercialización, el citado plan podrá ser sustituido por las instrucciones específicas del fabricante, proveedor o suministrador, sobre el montaje, la utilización y el desmontaje de los equipos, salvo que estas operaciones se realicen de forma o en condiciones o circunstancias no previstas en dichas instrucciones.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el caso de aquellos tipos de andamios normalizados –p. ej. metálicos tubulares prefabricados o torres de acceso móviles– que no pueden disponer de marcado «CE» –por no haberse adoptado dicha existencia legal en el ámbito europeo– pero sus fabricantes se han sometido a la realización de los ensayos exigidos por Documentos de Armonización Europeos y cuentan con el correspondiente certificado de ese producto expedido por un organismo nacional de certificación, mientras no se establezca la exigencia de marcado «CE», se aplicará la posible sustitución del plan por las instrucciones del fabricante, siempre que el andamio se monte según la configuración tipo establecida en las citadas instrucciones y para las operaciones y usos indicados por el mismo.</w:t>
      </w:r>
    </w:p>
    <w:p>
      <w:pPr>
        <w:pStyle w:val="style0"/>
        <w:shd w:fill="FFFFFF" w:val="clear"/>
        <w:spacing w:after="28" w:before="28" w:line="300" w:lineRule="atLeast"/>
        <w:jc w:val="both"/>
      </w:pPr>
      <w:bookmarkStart w:id="469" w:name="LOC_ART.191"/>
      <w:bookmarkStart w:id="470" w:name="SE249"/>
      <w:bookmarkEnd w:id="469"/>
      <w:bookmarkEnd w:id="470"/>
      <w:r>
        <w:rPr>
          <w:rFonts w:ascii="Verdana" w:cs="Times New Roman" w:eastAsia="Times New Roman" w:hAnsi="Verdana"/>
          <w:b/>
          <w:bCs/>
          <w:caps/>
          <w:color w:val="0087AD"/>
          <w:sz w:val="17"/>
          <w:lang w:eastAsia="es-ES"/>
        </w:rPr>
        <w:t>ARTÍCULO 191.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Montaje, supervisión y formación de los montadores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andamios sólo podrán ser montados, desmontados o modificados sustancialmente bajo la dirección de una persona con una formación universitaria o profesional que lo habilite para ello, y por trabajadores que hayan recibido una formación adecuada y específica para las operaciones previstas conforme al Anexo II, apartado 4.3.7 del Real Decreto 1215/1997, de 18 de julio, modificado por el Real Decreto 2177/2004, de 12 de noviembre.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Tanto los trabajadores afectados como la persona que supervise dispondrán del plan de montaje y desmontaje incluyendo cualquier instrucción que pudiera contener.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de conformidad con el Real Decreto 1215/1997, de 18 de julio, modificado por el Real Decreto 2177/2004, de 12 de noviembre, no sea necesaria la elaboración de un plan de montaje, utilización y desmontaje, las operaciones previstas en este apartado podrán también ser dirigidas por una persona que disponga de una experiencia certificada por el empresario en esta materia de más de dos años y cuente con la formación preventiva correspondiente, como mínimo, a las funciones de nivel básico.</w:t>
      </w:r>
    </w:p>
    <w:p>
      <w:pPr>
        <w:pStyle w:val="style0"/>
        <w:shd w:fill="FFFFFF" w:val="clear"/>
        <w:spacing w:after="28" w:before="28" w:line="300" w:lineRule="atLeast"/>
        <w:jc w:val="both"/>
      </w:pPr>
      <w:bookmarkStart w:id="471" w:name="LOC_ART.192"/>
      <w:bookmarkStart w:id="472" w:name="SE250"/>
      <w:bookmarkEnd w:id="471"/>
      <w:bookmarkEnd w:id="472"/>
      <w:r>
        <w:rPr>
          <w:rFonts w:ascii="Verdana" w:cs="Times New Roman" w:eastAsia="Times New Roman" w:hAnsi="Verdana"/>
          <w:b/>
          <w:bCs/>
          <w:caps/>
          <w:color w:val="0087AD"/>
          <w:sz w:val="17"/>
          <w:lang w:eastAsia="es-ES"/>
        </w:rPr>
        <w:t>ARTÍCULO 192.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Inspección de andamios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andamios deberán ser inspeccionados por una persona con una formación universitaria o profesional que lo habilite para ello: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Antes de su puesta en servicio.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A continuación, periódicamente.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Tras cualquier modificación, período de no utilización, exposición a la intemperie, sacudidas sísmicas, o cualquier otra circunstancia que hubiera podido afectar a su resistencia o a su estabilidad.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Cuando, de conformidad con el Real Decreto 1215/1997, de 18 de julio, modificado por el Real Decreto 2177/2004, de 12 de noviembre, no sea necesaria la elaboración de un plan de montaje, utilización y desmontaje, las operaciones previstas en este apartado podrán también ser dirigidas por una persona que disponga de una experiencia certificada por el empresario en esta materia de más de dos años y cuente con la formación preventiva correspondiente, como mínimo, a las funciones de nivel básico.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resultados de las comprobaciones e inspecciones periódicas deberán documentarse y estar a disposición de la autoridad laboral.</w:t>
      </w:r>
    </w:p>
    <w:p>
      <w:pPr>
        <w:pStyle w:val="style0"/>
        <w:shd w:fill="FFFFFF" w:val="clear"/>
        <w:spacing w:after="28" w:before="28" w:line="300" w:lineRule="atLeast"/>
        <w:jc w:val="both"/>
      </w:pPr>
      <w:bookmarkStart w:id="473" w:name="SE251"/>
      <w:bookmarkEnd w:id="473"/>
      <w:r>
        <w:rPr>
          <w:rFonts w:ascii="Verdana" w:cs="Times New Roman" w:eastAsia="Times New Roman" w:hAnsi="Verdana"/>
          <w:b/>
          <w:bCs/>
          <w:color w:val="0087AD"/>
          <w:sz w:val="21"/>
          <w:lang w:eastAsia="es-ES"/>
        </w:rPr>
        <w:t>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determinados tipos de andamios</w:t>
      </w:r>
    </w:p>
    <w:p>
      <w:pPr>
        <w:pStyle w:val="style0"/>
        <w:shd w:fill="FFFFFF" w:val="clear"/>
        <w:spacing w:after="28" w:before="28" w:line="300" w:lineRule="atLeast"/>
        <w:jc w:val="both"/>
      </w:pPr>
      <w:bookmarkStart w:id="474" w:name="LOC_ART.193"/>
      <w:bookmarkStart w:id="475" w:name="SE252"/>
      <w:bookmarkEnd w:id="474"/>
      <w:bookmarkEnd w:id="475"/>
      <w:r>
        <w:rPr>
          <w:rFonts w:ascii="Verdana" w:cs="Times New Roman" w:eastAsia="Times New Roman" w:hAnsi="Verdana"/>
          <w:b/>
          <w:bCs/>
          <w:caps/>
          <w:color w:val="0087AD"/>
          <w:sz w:val="17"/>
          <w:lang w:eastAsia="es-ES"/>
        </w:rPr>
        <w:t>ARTÍCULO 193.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andamios metálicos tubulares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 consideran andamios metálicos tubulares, aquellos en los que todas o algunas de sus dimensiones son determinadas con antelación mediante uniones o dispositivos de unión fijos permanentemente sobre los componentes. Se componen de placa de sustentación (placa base y husillo), módulos, cruz de San Andrés, y largueros o tubos de extremos, longitudinales y diagonales. Se complementan con plataformas, barandillas y en ocasiones escaleras de comunicación integradas.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relación con estos andamios se establecen las siguientes condiciones particulares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Los andamios tubulares, en todo caso, deberán estar certificados por una entidad reconocida certificación.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andamios tubulares que no hayan obtenido una certificación del producto por una entidad reconocida de certificación, sólo podrán utilizarse para aquellos supuestos en los que el Real Decreto 1215/1997, 18 de julio, modificado por el Real Decreto 2177/2004, de 12 de noviembre, por el que se establecen las Disposiciones mínimas de seguridad y salud para la utilización por los trabajadores de los equipos de trabajo, en materia de trabajos temporales en altura en su Anexo II apartado 4.3, no exige plan de montaje, de utilización y de desmontaje, esto es para alturas no superiores a 6 metros y que además no superen los 8 metros de distancia entre apoyos, y siempre que no estén situados sobre azoteas, cúpulas, tejados, estructuras superiores o balconadas a más de 24 metros desde el nivel del terreno o del suelo.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En cualquier caso el material que conforma el andamio dispondrá de las instrucciones de montaje y mantenimiento necesarias para su uso.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En ningún caso se permitirá al contratista o usuarios, realizar cambios en el diseño inicial sin la autorización e intervención de la dirección facultativa o el coordinador de seguridad y sin haber realizado el plan de montaje, utilización y desmontaje correspondiente.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La estabilidad de los andamios tubulares deberá quedar garantizada en todo momento. El técnico que supervise la correcta ejecución de los trabajos de montaje y desmontaje del andamio, dará las instrucciones precisas tanto a los montadores como a los trabajadores posteriormente usuarios sobre las condiciones para ejecutar los trabajos de manera adecuada.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Para el trabajo en las plataformas de trabajo de los andamios tubulares se exigen los siguientes requisitos mínimos: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de trabajo tendrán un ancho mínimo de 60 centímetros sin solución de continuidad al mismo nivel, teniendo garantizada la resistencia y estabilidad necesarias en relación con los trabajos a realizar sobre ellas.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de trabajo serán metálicas o de otro material resistente y antideslizante, contarán con dispositivos de enclavamiento que eviten su basculamiento accidental y tendrán marcada, de forma indeleble y visible, la carga máxima admisible.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de trabajo estarán protegidas por medio de una barandilla metálica de un mínimo de un metro de altura, barra intermedia y rodapié de altura mínima de 15 centímetros en todos los lados de su contorno, con excepción de los lados que disten de la fachada menos de 20 centímetros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El acceso a estas estructuras tubulares se hará siempre por medio de escaleras bien mediante módulos específicos adosados a los laterales, bien mediante escaleras integradas de comunicación entre las plataformas. Las trampillas de acceso a estas últimas estarán cerradas, cuando no respondan propiamente a esta finalidad. Solo en los casos que estén debidamente justificados en el plan de seguridad o en la evaluación de riesgos podrá hacerse desde el edificio, por medio de plataformas o pasarelas debidamente protegidas.</w:t>
      </w:r>
    </w:p>
    <w:p>
      <w:pPr>
        <w:pStyle w:val="style0"/>
        <w:shd w:fill="FFFFFF" w:val="clear"/>
        <w:spacing w:after="28" w:before="28" w:line="300" w:lineRule="atLeast"/>
        <w:jc w:val="both"/>
      </w:pPr>
      <w:bookmarkStart w:id="476" w:name="LOC_ART.194"/>
      <w:bookmarkStart w:id="477" w:name="SE253"/>
      <w:bookmarkEnd w:id="476"/>
      <w:bookmarkEnd w:id="477"/>
      <w:r>
        <w:rPr>
          <w:rFonts w:ascii="Verdana" w:cs="Times New Roman" w:eastAsia="Times New Roman" w:hAnsi="Verdana"/>
          <w:b/>
          <w:bCs/>
          <w:caps/>
          <w:color w:val="0087AD"/>
          <w:sz w:val="17"/>
          <w:lang w:eastAsia="es-ES"/>
        </w:rPr>
        <w:t>ARTÍCULO 194.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andamios constituidos por elementos prefabricados, torres de acceso y torres de trabajo móviles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respecto a la comercialización de estos tipos de andamios, y de acuerdo con lo dispuesto en el Real Decreto 1801/2003, de 26 de diciembre, de Seguridad general de los productos, se considera que un andamio de este tipo es seguro cuando cumpla las disposiciones normativas de obligado cumplimiento que establezcan los requisitos de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los aspectos de dichas disposiciones normativas regulados por normas técnicas que sean transposición de una norma europea armonizada, se presumirá que también un andamio de este tipo es seguro cuando sea conforme a tales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no exista disposición normativa de obligado cumplimiento aplicable, o ésta no cubra todos los riesgos o categorías de riesgos de este tipo de andamio, para evaluar su seguridad garantizando siempre el nivel de seguridad, se tendrán en cuenta los siguientes elementos: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técnicas nacionales que sean transposición de normas europeas no armonizadas.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UNE.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Códigos de buenas prácticas.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Estado actual de los conocimientos y de la técnica.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Por lo que refiere a la utilización de estos tipos de andamios, se atenderá a lo dispuesto en el Real Decreto 1215/1997, de 18 de julio, modificado por el Real Decreto 2177/2004, de 12 de noviembre.</w:t>
      </w:r>
    </w:p>
    <w:p>
      <w:pPr>
        <w:pStyle w:val="style0"/>
        <w:shd w:fill="FFFFFF" w:val="clear"/>
        <w:spacing w:after="28" w:before="28" w:line="300" w:lineRule="atLeast"/>
        <w:jc w:val="both"/>
      </w:pPr>
      <w:bookmarkStart w:id="478" w:name="LOC_ART.195"/>
      <w:bookmarkStart w:id="479" w:name="SE254"/>
      <w:bookmarkEnd w:id="478"/>
      <w:bookmarkEnd w:id="479"/>
      <w:r>
        <w:rPr>
          <w:rFonts w:ascii="Verdana" w:cs="Times New Roman" w:eastAsia="Times New Roman" w:hAnsi="Verdana"/>
          <w:b/>
          <w:bCs/>
          <w:caps/>
          <w:color w:val="0087AD"/>
          <w:sz w:val="17"/>
          <w:lang w:eastAsia="es-ES"/>
        </w:rPr>
        <w:t>ARTÍCULO 195.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torres de acceso y torres de trabajo móviles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Para garantizar la estabilidad de las torres de acceso y de las torres de trabajo móviles su altura (desde el suelo a la última plataforma) no podrá exceder de 4 metros por cada metro del lado menor. En su caso, y no obstante lo anterior, deberán seguirse las instrucciones del fabricante (utilizar estabilizadores, aumentar el lado menor,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ruedas de las torres de trabajo móviles deberán disponer de un dispositivo de blocaje de la rotación y de la traslación. Asimismo, deberá verificarse el correcto funcionamiento de los frenos. Estas torres sólo deben moverse manualmente sobre suelo firme, sólido, nivelado y libre de obstáculos.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Para evitar su basculamiento está prohibido desplazarlas con personal o materiales y herramientas sobre las mismas.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No está autorizado instalar poleas u otros dispositivos de elevación sobre estos tipos de andamio, a menos que los mismos hayan sido proyectados expresamente por el fabricante para dicha finalidad.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Estos tipos de andamios no deben apoyarse, en ningún caso, sobre material ligero o de baja resistencia o estabilidad.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El acceso a las plataformas de este tipo de andamios deberá realizarse por el interior con escaleras o escalas de peldaños integradas para tal fin.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Está prohibido saltar sobre los pisos de trabajo y establecer puentes entre una torre de trabajo móvil y cualquier elemento fijo de la obra o edificio.</w:t>
      </w:r>
    </w:p>
    <w:p>
      <w:pPr>
        <w:pStyle w:val="style0"/>
        <w:shd w:fill="FFFFFF" w:val="clear"/>
        <w:spacing w:after="28" w:before="28" w:line="300" w:lineRule="atLeast"/>
        <w:jc w:val="both"/>
      </w:pPr>
      <w:bookmarkStart w:id="480" w:name="LOC_ART.196"/>
      <w:bookmarkStart w:id="481" w:name="SE255"/>
      <w:bookmarkEnd w:id="480"/>
      <w:bookmarkEnd w:id="481"/>
      <w:r>
        <w:rPr>
          <w:rFonts w:ascii="Verdana" w:cs="Times New Roman" w:eastAsia="Times New Roman" w:hAnsi="Verdana"/>
          <w:b/>
          <w:bCs/>
          <w:caps/>
          <w:color w:val="0087AD"/>
          <w:sz w:val="17"/>
          <w:lang w:eastAsia="es-ES"/>
        </w:rPr>
        <w:t>ARTÍCULO 196.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plataformas elevadoras sobre mástil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plataformas incluidas en este apartado tienen la consideración de aparatos de elevación de personas. Por lo tanto, les es de aplicación el Real Decreto 1644/2008, de 10 de octubre, por el que se establecen las normas para la comercialización y puesta en servicio de las máquinas, y resulta exigible que dispongan del «marcado CE», declaración «CE» de conformidad y manual de instrucciones.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Por lo que refiere a la utilización de estas plataformas, se atenderá a lo dispuesto en el Real Decreto 1215/1997, de 18 de julio, modificado por el Real Decreto 2177/2004, de 12 de noviembre.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Sin perjuicio de lo anterior, y entre otras, deben cumplirse las siguientes medidas: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Deberá verificarse antes de su uso la resistencia y estabilidad de los puntos de apoyo.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Estarán dotadas de protección frente al riesgo de contacto eléctrico indirecto y verificarse la ausencia de líneas eléctricas aéreas en el entorno.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Cuando dispongan de carriles deberán poseer una perfecta nivelación, cimentación y alineación, así como topes en sus extremos. Los traslados se realizarán con la plataforma desalojada de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Para prevenir el riesgo de caídas de objetos sobre terceros se balizará, señalizará y acotará la zona inferior del terreno impidiendo el paso bajo su perpendicular.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Nunca deberán sobrecargarse; se repartirán los materiales necesarios para la correcta continuidad de los trabajos a lo largo de la plataforma.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 Deben revisarse periódicamente y no utilizarse en condiciones meteorológicas adversas que superen lo previsto por el fabricante.</w:t>
      </w:r>
    </w:p>
    <w:p>
      <w:pPr>
        <w:pStyle w:val="style0"/>
        <w:shd w:fill="FFFFFF" w:val="clear"/>
        <w:spacing w:after="28" w:before="28" w:line="300" w:lineRule="atLeast"/>
        <w:jc w:val="both"/>
      </w:pPr>
      <w:bookmarkStart w:id="482" w:name="LOC_ART.197"/>
      <w:bookmarkStart w:id="483" w:name="SE256"/>
      <w:bookmarkEnd w:id="482"/>
      <w:bookmarkEnd w:id="483"/>
      <w:r>
        <w:rPr>
          <w:rFonts w:ascii="Verdana" w:cs="Times New Roman" w:eastAsia="Times New Roman" w:hAnsi="Verdana"/>
          <w:b/>
          <w:bCs/>
          <w:caps/>
          <w:color w:val="0087AD"/>
          <w:sz w:val="17"/>
          <w:lang w:eastAsia="es-ES"/>
        </w:rPr>
        <w:t>ARTÍCULO 197.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plataformas suspendidas de nivel variable de accionamiento manual o motorizado (andamios colgados)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Al igual que las plataformas incluidas en el artículo anterior, tienen la consideración de aparatos de elevación de personas, por lo tanto, les es de aplicación el Real Decreto 1644/2008, de 10 de octubre, por el que se establecen las normas para la comercialización y puesta en servicio de las máquinas. En consecuencia, a estos equipos les resulta exigible que dispongan del «marcado CE», declaración «CE» de conformidad y manual de instrucciones de acuerdo con dichas normas. La documentación técnica debe alcanzar a todos los elementos de las plataformas (pescantes, contrapesos, cables de sustentación, aparejos y mecanismos de izado y descenso, barquilla y componentes de seguridad). A aquellas plataformas que por su fecha de comercialización o de puesta en servicio por primera vez no les sea de aplicación el referido Real Decreto 1644/2008, de 10 de octubre, deberán estar puesta en conformidad de acuerdo con lo establecido en el Real Decreto 1215/1997, de 18 de julio.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Por lo que refiere a la utilización de estos tipos de plataformas, se atenderá a lo dispuesto en el Real Decreto 1215/1997, de 18 de julio, modificado por el Real Decreto 2177/2004, de 12 de noviembre.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Deben cumplirse, además de las contenidas en el manual de instrucciones del fabricante, entre otras, las siguientes normas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suelo de las plataformas debe ser una superficie resistente, antideslizante y debe quedar sujeto de tal forma que carezca de movimiento alguno, bien sea de deslizamiento o de basculamiento, y sólo pueda ser retirado por una acción voluntaria.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suspendidas deben estar dotadas de barandilla, protecciones intermedias y zócalos montados a lo largo de todo su perímetro. La altura de la barandilla no será inferior a 90 centímetros medido desde lo alto de la barandilla hasta el suelo. La distancia entre la barandilla y la protección intermedia, y entre esta y el zócalo no debe sobrepasar los 50 centímetros el zócalo no debe tener una altura inferior a 15 centímetros por encima del suelo.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En el caso de utilizarse plataformas múltiples con dos o más suelos, uno encima del otro, debe preverse una trampilla en el suelo superior y una escalera integrada que permita un acceso seguro entre los suelos. La trampilla debe abrirse hacia arriba y no debe poder quedarse abierta.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Queda expresamente prohibido comunicar entre sí dos plataformas suspendidas en paralelo mediante pasarelas superpuestas o colocar dicha pasarela entre la plataforma y cualquier otro elemento.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accesos a las plataformas serán cómodos y seguros. Las puertas de acceso de las barquillas no deben abrir hacia el exterior y deben estar dotadas de un sistema e enclavamiento que impida su apertura, si no es por una acción voluntaria.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distancia entre el paramento y la cara delantera de las plataformas será inferior a 30 centímetros. Éstas deberán disponer de un sistema de fijación o anclaje que impida su movimiento durante las operaciones de entrada y salida de las mismas.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pescantes se montarán de tal forma que los cables trabajen totalmente perpendiculares al suelo y paralelos entre sí.</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se suspenderán de un mínimo de dos pescantes.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prohíbe la acumulación de materiales en estas plataformas debiendo situar sobre ellas, exclusivamente, los indispensables y precisos para realizar el trabajo. En ningún caso se sobrepasará la carga máxima indicada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pondrá especial cuidado en el tiro uniforme de los cabos durante los movimientos de ascensos y descensos, para evitar saltos bruscos. Estos movimientos se ejecutarán con las plataformas descargadas de material y durante los mismos sólo permanecerán sobre ellas los trabajadores indispensables.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aparejos elevadores utilizados para las maniobras deberán disponer de dispositivos de seguridad que impidan descensos y rotaciones incontroladas, así como dispositivos interiores de guía para los cables.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ganchos de sujeción de los cables a los pescantes deberá estar dotados de pestillo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 estas plataformas se les debe acoplar dispositivos secundarios para que en caso de rotura del cable portante retengan las mismas evitando su caída tales como: un sistema de suspensión de doble cable de seguridad independiente de los cables de sustentación y dotado de un freno secundario, o un sistema de suspensión de cable único asociado a un dispositivo anticaídas capaz de retener las plataformas.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Antes de su primera utilización todo el conjunto será sometido a una prueba de carga bajo la supervisión de persona competente; igualmente, con carácter diario y antes de su uso, deben ser inspeccionados los elementos sometidos a esfuerzo, los dispositivos de seguridad, etc.; periódicamente dicho conjunto se revisará conforme a las instrucciones del fabricante. Todas estas revisiones quedarán documentadas.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En todos los elementos y accesorios de elevación deberán quedar claramente identificadas sus características. En la plataforma deberá quedar reflejada la carga máxima y el número máximo de personas que pueden utilizarla.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deben utilizarse en condiciones meteorológicas adversas que superen lo previsto por el fabricante.</w:t>
      </w:r>
    </w:p>
    <w:p>
      <w:pPr>
        <w:pStyle w:val="style0"/>
        <w:shd w:fill="FFFFFF" w:val="clear"/>
        <w:spacing w:after="28" w:before="28" w:line="300" w:lineRule="atLeast"/>
        <w:jc w:val="both"/>
      </w:pPr>
      <w:bookmarkStart w:id="484" w:name="LOC_ART.198"/>
      <w:bookmarkStart w:id="485" w:name="SE257"/>
      <w:bookmarkEnd w:id="484"/>
      <w:bookmarkEnd w:id="485"/>
      <w:r>
        <w:rPr>
          <w:rFonts w:ascii="Verdana" w:cs="Times New Roman" w:eastAsia="Times New Roman" w:hAnsi="Verdana"/>
          <w:b/>
          <w:bCs/>
          <w:caps/>
          <w:color w:val="0087AD"/>
          <w:sz w:val="17"/>
          <w:lang w:eastAsia="es-ES"/>
        </w:rPr>
        <w:t>ARTÍCULO 198.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andamios de borriquetas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Estarán constituidos por borriquetas metálicas en forma de uve invertida y tablones o plataformas metálicas horizontales.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Estos andamios siempre se montarán nivelados, nunca inclinados se prohíbe su apoyo sobre materiales de construcción frágiles como ladrillos, bovedillas,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Podrán emplearse andamios de borriquetas hasta 3 metros de altura. Cuando el riesgo de caídas sea mayor de 2 metros se dispondrá de barandillas u otros sistemas de protección colectiva de seguridad equivalente.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los trabajos sobre borriquetas en balcones, terrazas o en la proximidad de aberturas con riesgo de caídas de más de 2 metros se utilizarán medios de protección colectiva (barrandillas, redes,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Los tablones o plataformas que formen el piso del andamio (de al menos 60 centímetros de anchura) deberán estar anclados o atados a las borriquetas.</w:t>
      </w:r>
    </w:p>
    <w:p>
      <w:pPr>
        <w:pStyle w:val="style0"/>
        <w:shd w:fill="FFFFFF" w:val="clear"/>
        <w:spacing w:after="28" w:before="28" w:line="300" w:lineRule="atLeast"/>
        <w:jc w:val="both"/>
      </w:pPr>
      <w:bookmarkStart w:id="486" w:name="LOC_ART.199"/>
      <w:bookmarkStart w:id="487" w:name="SE258"/>
      <w:bookmarkEnd w:id="486"/>
      <w:bookmarkEnd w:id="487"/>
      <w:r>
        <w:rPr>
          <w:rFonts w:ascii="Verdana" w:cs="Times New Roman" w:eastAsia="Times New Roman" w:hAnsi="Verdana"/>
          <w:b/>
          <w:bCs/>
          <w:caps/>
          <w:color w:val="0087AD"/>
          <w:sz w:val="17"/>
          <w:lang w:eastAsia="es-ES"/>
        </w:rPr>
        <w:t>ARTÍCULO 199.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andamios de mechinales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el andamio se establezca a base de mechinales (agujeros cuadrados practicados en un muro de obra que permiten el paso de los travesaños o colas de un andamio) sólo se permitirá su uso para obras de escasa importancia y con la condición de que la altura sobre el nivel del suelo o del terreno de la andamiada más elevada no exceda de 5 metros.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Será obligatoria, en todo caso, la utilización de sistemas anticaídas por parte de los trabajadores situados en estos andamios.</w:t>
      </w:r>
    </w:p>
    <w:p>
      <w:pPr>
        <w:pStyle w:val="style0"/>
        <w:shd w:fill="FFFFFF" w:val="clear"/>
        <w:spacing w:after="28" w:before="28" w:line="300" w:lineRule="atLeast"/>
        <w:jc w:val="both"/>
      </w:pPr>
      <w:bookmarkStart w:id="488" w:name="LOC_CAP.3"/>
      <w:bookmarkStart w:id="489" w:name="SE259"/>
      <w:bookmarkEnd w:id="488"/>
      <w:bookmarkEnd w:id="489"/>
      <w:r>
        <w:rPr>
          <w:rFonts w:ascii="Verdana" w:cs="Times New Roman" w:eastAsia="Times New Roman" w:hAnsi="Verdana"/>
          <w:b/>
          <w:bCs/>
          <w:color w:val="0087AD"/>
          <w:sz w:val="21"/>
          <w:lang w:eastAsia="es-ES"/>
        </w:rPr>
        <w:t>CAPÍTULO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PROTECCIONES COLECTIVAS, ESCALAS FIJAS O DE SERVICIO, ESCALERAS DE MANO Y OTROS EQUIPOS PARA TRABAJOS TEMPORALES EN ALTURA</w:t>
      </w:r>
    </w:p>
    <w:p>
      <w:pPr>
        <w:pStyle w:val="style0"/>
        <w:shd w:fill="FFFFFF" w:val="clear"/>
        <w:spacing w:after="28" w:before="28" w:line="300" w:lineRule="atLeast"/>
        <w:jc w:val="both"/>
      </w:pPr>
      <w:bookmarkStart w:id="490" w:name="LOC_ART.200"/>
      <w:bookmarkStart w:id="491" w:name="SE260"/>
      <w:bookmarkEnd w:id="490"/>
      <w:bookmarkEnd w:id="491"/>
      <w:r>
        <w:rPr>
          <w:rFonts w:ascii="Verdana" w:cs="Times New Roman" w:eastAsia="Times New Roman" w:hAnsi="Verdana"/>
          <w:b/>
          <w:bCs/>
          <w:caps/>
          <w:color w:val="0087AD"/>
          <w:sz w:val="17"/>
          <w:lang w:eastAsia="es-ES"/>
        </w:rPr>
        <w:t>ARTÍCULO 200.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sistemas provisionales de protección de borde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respecto a la comercialización de estos sistemas, y de acuerdo con lo dispuesto en el Real Decreto 1801/2003, de 26 de diciembre, de Seguridad general de los productos, se considera que una protección de borde es segura cuando cumpla las disposiciones normativas de obligado cumplimiento que fijen los requisitos de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los aspectos de dichas disposiciones normativas regulados por normas técnicas que sean transposición de una norma europea armonizada, se presumirá que también un sistema provisional de protección de borde es seguro cuando sea conforme a tales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no exista disposición normativa de obligado cumplimiento aplicable, o ésta no cubra todos los riesgos o categorías de riesgos del sistema provisional de protección de borde, para evaluar su seguridad garantizando siempre el nivel de seguridad, se tendrán en cuenta los siguientes elementos: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técnicas nacionales que sean transposición de normas europeas no armonizadas.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UNE.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Códigos de buenas prácticas.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Estado actual de los conocimientos y de la técnica.</w:t>
      </w:r>
    </w:p>
    <w:p>
      <w:pPr>
        <w:pStyle w:val="style0"/>
        <w:shd w:fill="FFFFFF" w:val="clear"/>
        <w:spacing w:after="28" w:before="28" w:line="300" w:lineRule="atLeast"/>
        <w:jc w:val="both"/>
      </w:pPr>
      <w:bookmarkStart w:id="492" w:name="LOC_ART.201"/>
      <w:bookmarkStart w:id="493" w:name="SE261"/>
      <w:bookmarkEnd w:id="492"/>
      <w:bookmarkEnd w:id="493"/>
      <w:r>
        <w:rPr>
          <w:rFonts w:ascii="Verdana" w:cs="Times New Roman" w:eastAsia="Times New Roman" w:hAnsi="Verdana"/>
          <w:b/>
          <w:bCs/>
          <w:caps/>
          <w:color w:val="0087AD"/>
          <w:sz w:val="17"/>
          <w:lang w:eastAsia="es-ES"/>
        </w:rPr>
        <w:t>ARTÍCULO 201.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Requisitos para los sistemas provisionales de protección de borde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Todos los elementos que configuran el conjunto de sistemas de protección (barandilla principal con una altura mínima de 90 centímetros, barandilla intermedia, plinto o rodapié con una altura sobre la superficie de trabajo tal que impida la caída de objetos y materiales y postes) serán resistentes. Estarán constituidos por materiales rígidos y sólidos; no podrán utilizarse como barandillas: cuerdas, cintas, cadenas o elementos o materiales diseñados para otros usos, como los de señalización o balizamiento.</w:t>
      </w:r>
    </w:p>
    <w:p>
      <w:pPr>
        <w:pStyle w:val="style0"/>
        <w:shd w:fill="FFFFFF" w:val="clear"/>
        <w:spacing w:after="28" w:before="28" w:line="300" w:lineRule="atLeast"/>
        <w:jc w:val="both"/>
      </w:pPr>
      <w:bookmarkStart w:id="494" w:name="LOC_ART.202"/>
      <w:bookmarkStart w:id="495" w:name="SE262"/>
      <w:bookmarkEnd w:id="494"/>
      <w:bookmarkEnd w:id="495"/>
      <w:r>
        <w:rPr>
          <w:rFonts w:ascii="Verdana" w:cs="Times New Roman" w:eastAsia="Times New Roman" w:hAnsi="Verdana"/>
          <w:b/>
          <w:bCs/>
          <w:caps/>
          <w:color w:val="0087AD"/>
          <w:sz w:val="17"/>
          <w:lang w:eastAsia="es-ES"/>
        </w:rPr>
        <w:t>ARTÍCULO 202.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redes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respecto a la comercialización de las redes de seguridad, y de acuerdo con lo dispuesto en el Real Decreto 1801/2003, de 26 de diciembre, de Seguridad general de los productos, se considera que una red de seguridad es segura cuando cumpla las disposiciones normativas de obligado cumplimiento que fijen los requisitos de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los aspectos de dichas disposiciones normativas regulados por normas técnicas que sean transposición de una norma europea armonizada, se presumirá que también una red de seguridad es segura cuando sea conforme a tales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no exista disposición normativa de obligado cumplimiento aplicable, o ésta no cubra todos los riesgos o categorías de riesgos de la red de seguridad, para evaluar su seguridad garantizando siempre el nivel de seguridad, se tendrán en cuenta los siguientes elementos: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técnicas nacionales que sean transposición de normas europeas no armonizadas.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UNE.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Códigos de buenas prácticas.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Estado actual de los conocimientos y de la técnica.</w:t>
      </w:r>
    </w:p>
    <w:p>
      <w:pPr>
        <w:pStyle w:val="style0"/>
        <w:shd w:fill="FFFFFF" w:val="clear"/>
        <w:spacing w:after="28" w:before="28" w:line="300" w:lineRule="atLeast"/>
        <w:jc w:val="both"/>
      </w:pPr>
      <w:bookmarkStart w:id="496" w:name="LOC_ART.203"/>
      <w:bookmarkStart w:id="497" w:name="SE263"/>
      <w:bookmarkEnd w:id="496"/>
      <w:bookmarkEnd w:id="497"/>
      <w:r>
        <w:rPr>
          <w:rFonts w:ascii="Verdana" w:cs="Times New Roman" w:eastAsia="Times New Roman" w:hAnsi="Verdana"/>
          <w:b/>
          <w:bCs/>
          <w:caps/>
          <w:color w:val="0087AD"/>
          <w:sz w:val="17"/>
          <w:lang w:eastAsia="es-ES"/>
        </w:rPr>
        <w:t>ARTÍCULO 203.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Requisitos para la utilización de redes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la elección y utilización de las redes de seguridad, siempre que sea técnicamente posible por el tipo de trabajos que se ejecuten, se dará prioridad a las redes que evitan la caída frente a aquellas que sólo limitan o atenúan las posibles consecuencias de dichas caídas.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 independencia de la obligatoriedad de cumplir las normas técnicas previstas para cada tipo de red, éstas sólo se deberán instalar y utilizar conforme a las instrucciones previstas, en cada caso, por el fabricante, se estudiará, con carácter previo a su montaje, el tipo de red más adecuado frente al riesgo de caída de altura en función del trabajo que vaya a ejecutarse.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montaje y desmontaje sucesivos será realizado por personal formado e informado.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 estabilidad y solidez de los elementos de soporte y el buen estado de las redes deberán verificarse previamente a su uso, posteriormente de forma periódica, y cada vez que sus condiciones de seguridad puedan resultar afectadas por una modificación, período de no utilización o cualquier otra circunstancia.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Se almacenarán en lugares secos.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Una vez retiradas las redes deberán reponerse los sistemas provisionales de protección de borde.</w:t>
      </w:r>
    </w:p>
    <w:p>
      <w:pPr>
        <w:pStyle w:val="style0"/>
        <w:shd w:fill="FFFFFF" w:val="clear"/>
        <w:spacing w:after="28" w:before="28" w:line="300" w:lineRule="atLeast"/>
        <w:jc w:val="both"/>
      </w:pPr>
      <w:bookmarkStart w:id="498" w:name="LOC_ART.204"/>
      <w:bookmarkStart w:id="499" w:name="SE264"/>
      <w:bookmarkEnd w:id="498"/>
      <w:bookmarkEnd w:id="499"/>
      <w:r>
        <w:rPr>
          <w:rFonts w:ascii="Verdana" w:cs="Times New Roman" w:eastAsia="Times New Roman" w:hAnsi="Verdana"/>
          <w:b/>
          <w:bCs/>
          <w:caps/>
          <w:color w:val="0087AD"/>
          <w:sz w:val="17"/>
          <w:lang w:eastAsia="es-ES"/>
        </w:rPr>
        <w:t>ARTÍCULO 204.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escalas fijas o de servicio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escalas fijas o de servicio deberán cumplir los requisitos establecidos en el Anexo I, apartado 8, del Real Decreto 486/1997, de 14 de abril, de Lugares de trabajo. Dispondrán de una protección circundante a partir de los 4 metros de altura, salvo en el caso de pozos, conductos angostos u otras instalaciones que por su configuración ya proporcionen dicha protección. Para escalas fijas de más de 9 metros se establecerán plataformas de descanso cada 9 metros o fracción.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el supuesto de que por las características constitutivas del propio pozo, conducto u otras instalaciones, las necesidades de acceso o la realización del trabajo impidan el establecimiento de las citadas plataformas de descanso, se dispondrán de sistemas anticaídas para su utilización por los trabajadores.</w:t>
      </w:r>
    </w:p>
    <w:p>
      <w:pPr>
        <w:pStyle w:val="style0"/>
        <w:shd w:fill="FFFFFF" w:val="clear"/>
        <w:spacing w:after="28" w:before="28" w:line="300" w:lineRule="atLeast"/>
        <w:jc w:val="both"/>
      </w:pPr>
      <w:bookmarkStart w:id="500" w:name="LOC_ART.205"/>
      <w:bookmarkStart w:id="501" w:name="SE265"/>
      <w:bookmarkEnd w:id="500"/>
      <w:bookmarkEnd w:id="501"/>
      <w:r>
        <w:rPr>
          <w:rFonts w:ascii="Verdana" w:cs="Times New Roman" w:eastAsia="Times New Roman" w:hAnsi="Verdana"/>
          <w:b/>
          <w:bCs/>
          <w:caps/>
          <w:color w:val="0087AD"/>
          <w:sz w:val="17"/>
          <w:lang w:eastAsia="es-ES"/>
        </w:rPr>
        <w:t>ARTÍCULO 205.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escaleras de mano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respecto a la comercialización de las escaleras de mano, y de acuerdo con lo dispuesto en el Real Decreto 1801/2003, de 26 de diciembre, de Seguridad general de los productos, se considera que una escalera de mano es segura cuando cumpla las disposiciones normativas de obligado cumplimiento que fijen los requisitos de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los aspectos de dichas disposiciones normativas regulados por normas técnicas que sean transposición de una norma europea armonizada, se presumirá que también una escalera de mano es segura cuando sea conforme a tales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no exista disposición normativa de obligado cumplimiento aplicable, o ésta no cubra todos los riesgos o categorías de riesgos de la escalera de mano, para evaluar su seguridad garantizando siempre el nivel de seguridad, se tendrán en cuenta los siguientes elementos: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técnicas nacionales que sean transposición de normas europeas no armonizadas.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UNE.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Códigos de buenas prácticas.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Estado actual de los conocimientos y de la técnica.</w:t>
      </w:r>
    </w:p>
    <w:p>
      <w:pPr>
        <w:pStyle w:val="style0"/>
        <w:shd w:fill="FFFFFF" w:val="clear"/>
        <w:spacing w:after="28" w:before="28" w:line="300" w:lineRule="atLeast"/>
        <w:jc w:val="both"/>
      </w:pPr>
      <w:bookmarkStart w:id="502" w:name="LOC_ART.206"/>
      <w:bookmarkStart w:id="503" w:name="SE266"/>
      <w:bookmarkEnd w:id="502"/>
      <w:bookmarkEnd w:id="503"/>
      <w:r>
        <w:rPr>
          <w:rFonts w:ascii="Verdana" w:cs="Times New Roman" w:eastAsia="Times New Roman" w:hAnsi="Verdana"/>
          <w:b/>
          <w:bCs/>
          <w:caps/>
          <w:color w:val="0087AD"/>
          <w:sz w:val="17"/>
          <w:lang w:eastAsia="es-ES"/>
        </w:rPr>
        <w:t>ARTÍCULO 206.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Requisitos para la utilización de las escaleras de mano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Por lo que refiere a la utilización de las escaleras de mano, se atenderá a lo dispuesto en el Real Decreto 1215/1997, de 18 de julio, por el que se establecen las Disposiciones mínimas de seguridad y salud para la utilización por los trabajadores de los equipos de trabajo modificado por el Real Decreto 2177/2004, de 12 de noviembre, de Equipos de trabajo, en materia de trabajos en altura, que incluye normas sobre andamios, escaleras de mano y las técnicas de acceso y de posicionamiento mediante cuerdas.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escaleras de mano deberán ajustarse a lo establecido en su normativa específica. Se tendrán en cuenta, entre otras, las siguientes medidas: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 utilización de una escalera de mano como puesto de trabajo en altura deberá limitarse a las circunstancias en las que la utilización de otros equipos de trabajo más seguros no esté justificada, por el bajo nivel de riesgo y por las características de los emplazamientos que el empresario no pueda modificar.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Las escaleras de mano deberán tener la resistencia y los elementos necesarios de apoyo o sujeción, o ambos, para que su utilización en las condiciones para las que han sido diseñados no suponga un riesgo de caída por rotura o desplazamiento. En particular, las escaleras de tijera dispondrán de elementos de seguridad que impidan su apertura al ser utilizadas.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Además, durante su utilización, deberán cumplirse, entre otras, las siguientes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Las escaleras de mano se colocarán de forma que su estabilidad durante su utilización esté asegurada. Los puntos de apoyo de las escaleras de mano deberán asentarse sólidamente sobre un soporte de dimensiones adecuadas, y estable, resistente e inmóvil, de forma que los travesaños queden en posición horizontal. Las escaleras suspendidas se fijarán de forma segura y, excepto las de cuerda, de manera que no puedan desplazarse y se eviten los movimientos de balanceo.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Se impedirá el deslizamiento de los pies de las escaleras de mano durante su utilización, ya sea mediante la fijación de la parte superior o inferior de los largueros, ya sea mediante cualquier dispositivo antideslizante o cualquier otra solución de eficacia equivalente. Las escaleras de mano para fines de acceso deberán tener la longitud necesaria para sobresalir al menos un metro del plano de trabajo al que se accede. Las escaleras compuestas de varios elementos adaptables o extensibles deberán utilizarse de forma que la inmovilización recíproca de los distintos elementos esté asegurada. Las escaleras con ruedas deberán haberse inmovilizado antes de acceder a ellas. Las escaleras de mano simples se colocarán, en la medida de lo posible, formando un ángulo aproximado de 75 grados con la horizontal.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ascenso, el descenso y los trabajos desde escaleras se efectuarán de frente a éstas. Las escaleras de mano deberán utilizarse de forma que los trabajadores puedan tener en todo momento un punto de apoyo y de sujeción seguros. Los trabajos a más de 3,50 metros de altura, desde el punto de operación al suelo, que requieran movimientos o esfuerzos peligrosos para la estabilidad del trabajador, sólo se efectuarán si se utiliza un equipo de protección individual anticaídas o se adoptan otras medidas de protección alternativas. El transporte a mano de una carga por una escalera de mano se hará de modo que ello no impida una sujeción segura. Se prohíbe el transporte y manipulación de cargas por o desde escaleras de mano cuando por su peso o dimensiones puedan comprometer la seguridad del trabajador. Las escaleras de mano no se utilizarán por dos o más personas simultáneamente.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No se emplearán escaleras de mano y, en particular, escaleras de más de 5 metros de longitud sobre cuya resistencia no se tengan garantías. Queda prohibido el uso de escaleras de mano de construcción improvisada.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Las escaleras de mano se revisarán periódicamente. Se prohíbe la utilización de escaleras de madera pintadas, por la dificultad que ello supone para la detección de sus posibles defectos.</w:t>
      </w:r>
    </w:p>
    <w:p>
      <w:pPr>
        <w:pStyle w:val="style0"/>
        <w:shd w:fill="FFFFFF" w:val="clear"/>
        <w:spacing w:after="28" w:before="28" w:line="300" w:lineRule="atLeast"/>
        <w:jc w:val="both"/>
      </w:pPr>
      <w:bookmarkStart w:id="504" w:name="LOC_ART.207"/>
      <w:bookmarkStart w:id="505" w:name="SE267"/>
      <w:bookmarkEnd w:id="504"/>
      <w:bookmarkEnd w:id="505"/>
      <w:r>
        <w:rPr>
          <w:rFonts w:ascii="Verdana" w:cs="Times New Roman" w:eastAsia="Times New Roman" w:hAnsi="Verdana"/>
          <w:b/>
          <w:bCs/>
          <w:caps/>
          <w:color w:val="0087AD"/>
          <w:sz w:val="17"/>
          <w:lang w:eastAsia="es-ES"/>
        </w:rPr>
        <w:t>ARTÍCULO 207.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Técnicas de acceso y de posicionamiento mediante cuerdas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 utilización de las técnicas de acceso y de posicionamiento mediante cuerdas se limitará a circunstancias en las que la evaluación del riesgo indique que el trabajo puede ejecutarse de manera segura y en las que, además, la utilización de otro equipo de trabajo más seguro no esté justificada.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Teniendo en cuenta la evaluación del riesgo y especialmente en función de la duración del trabajo y de las exigencias de carácter ergonómico, deberá facilitarse un asiento adaptado al trabajador y provisto de los accesorios apropiados.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trabajos con técnicas verticales o sistemas de acceso y posicionamiento mediante cuerdas deberán tener la resistencia y los elementos necesarios de apoyo o sujeción, o ambos, para que su utilización en las condiciones para las que han sido diseñados no suponga un riesgo de caída por rotura o desplazamiento.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 utilización de las técnicas de acceso y de posicionamiento mediante cuerdas cumplirá las siguientes condiciones: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El sistema constará como mínimo de dos cuerdas con sujeción independiente, una como medio de acceso, de descenso y de apoyo (cuerda de trabajo) y la otra como medio de emergencia (cuerda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Se facilitará a los trabajadores unos arneses adecuados, que deberán utilizar y conectar a la cuerda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La cuerda de trabajo estará equipada con un mecanismo seguro de ascenso y descenso y dispondrá de un sistema de bloqueo automático con el fin de impedir la caída en caso de que el usuario pierda el control de su movimiento. La cuerda de seguridad estará equipada con un dispositivo móvil contra caídas que siga los desplazamientos del trabajador.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Las herramientas y demás accesorios que deba utilizar el trabajador deberán estar sujetos al arnés o al asiento del trabajador o sujetos por otros medios adecuados.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Con respecto a la comercialización de los elementos que se emplean en las técnicas de acceso y de posicionamiento mediante cuerdas, y de acuerdo con lo dispuesto en el Real Decreto 1801/2003 de Seguridad general de los productos, se considera que los elementos son seguros cuando cumpla las disposiciones normativas de obligado cumplimiento que fijen los requisitos de seguridad y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En los aspectos de dichas disposiciones normativas regulados por normas técnicas que sean transposición de una norma europea armonizada, se presumirá que también estos elementos son seguros cuando sean conformes a tales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Cuando no exista disposición normativa de obligado cumplimiento aplicable, o ésta no cubra todos los riesgos o categorías de riesgos de estas técnicas, para evaluar su seguridad garantizando siempre el nivel de seguridad, se tendrán en cuenta los siguientes elementos: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técnicas nacionales que sean transposición de normas europeas no armonizadas.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Normas UNE.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Códigos de buenas prácticas.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Estado actual de los conocimientos y de la técnica.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todos los elementos que conforman estas técnicas, excepto a la propia cuerda de trabajo y a sus sistemas de amarre, les es de aplicación el Real Decreto 1407/1992 y, en consecuencia, les es exigible que dispongan de «marcado CE», declaración «CE de conformidad y manual de instrucciones, conforme a dicha norma.</w:t>
      </w:r>
    </w:p>
    <w:p>
      <w:pPr>
        <w:pStyle w:val="style0"/>
        <w:shd w:fill="FFFFFF" w:val="clear"/>
        <w:spacing w:after="28" w:before="28" w:line="300" w:lineRule="atLeast"/>
        <w:jc w:val="both"/>
      </w:pPr>
      <w:bookmarkStart w:id="506" w:name="LOC_ART.208"/>
      <w:bookmarkStart w:id="507" w:name="SE268"/>
      <w:bookmarkEnd w:id="506"/>
      <w:bookmarkEnd w:id="507"/>
      <w:r>
        <w:rPr>
          <w:rFonts w:ascii="Verdana" w:cs="Times New Roman" w:eastAsia="Times New Roman" w:hAnsi="Verdana"/>
          <w:b/>
          <w:bCs/>
          <w:caps/>
          <w:color w:val="0087AD"/>
          <w:sz w:val="17"/>
          <w:lang w:eastAsia="es-ES"/>
        </w:rPr>
        <w:t>ARTÍCULO 208.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Requisitos para la utilización de las técnicas de acceso y de posicionamiento mediante cuerdas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Por lo que refiere a la utilización de las técnicas de acceso y de posicionamiento mediante cuerdas, se atenderá a lo dispuesto en el Real Decreto 1215/1997, de 18 de julio, modificado por el Real Decreto 2177/2004, de 12 de noviembre.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trabajadores que utilicen estas técnicas de acceso y de posicionamiento deberán poseer una la información y formación adecuada y específica para las operaciones previstas. Dicha información y formación se referirá a los siguientes aspectos: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técnicas para la progresión mediante cuerdas y sobre estructuras.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sistemas de sujeción.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sistemas anticaídas.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normas sobre el cuidado, mantenimiento y verificación del equipo de trabajo y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técnicas de salvamento de personas accidentadas en suspensión.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medidas de seguridad ante condiciones meteorológicas que puedan afectar a la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técnicas seguras de manipulación de cargas en altura.</w:t>
      </w:r>
    </w:p>
    <w:p>
      <w:pPr>
        <w:pStyle w:val="style0"/>
        <w:shd w:fill="FFFFFF" w:val="clear"/>
        <w:spacing w:after="28" w:before="28" w:line="300" w:lineRule="atLeast"/>
        <w:jc w:val="both"/>
      </w:pPr>
      <w:bookmarkStart w:id="508" w:name="LOC_ART.209"/>
      <w:bookmarkStart w:id="509" w:name="SE269"/>
      <w:bookmarkEnd w:id="508"/>
      <w:bookmarkEnd w:id="509"/>
      <w:r>
        <w:rPr>
          <w:rFonts w:ascii="Verdana" w:cs="Times New Roman" w:eastAsia="Times New Roman" w:hAnsi="Verdana"/>
          <w:b/>
          <w:bCs/>
          <w:caps/>
          <w:color w:val="0087AD"/>
          <w:sz w:val="17"/>
          <w:lang w:eastAsia="es-ES"/>
        </w:rPr>
        <w:t>ARTÍCULO 209.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plataformas voladas de descarga de materiales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Deben reunir, entre otros, los siguientes requisitos: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deben ser metálicas, sólidas y seguras; se fijarán mediante puntales telescópicos de suelo a techo en número y disposición indicados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plataformas estarán protegidas en su contorno con barandillas perimetrales, siendo desmontable la delantera para permitir la descarga de materiales. Cuando disponga de trampilla abatible en el piso, deberá estar dotada de un sistema que impida el acceso a la plataforma cuando la trampilla esté abierta.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Para trabajos sobre las plataformas es preceptivo el uso, en función de las características del puesto de trabajo, un cinturón de retención dispuesto en un punto sólido de la obra o de un sistema anticaídas.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En ningún caso deberán sobrecargarse por encima de la carga máxima prevista por el fabricante, que vendrá indicada en un lugar visible y de forma indeleble.</w:t>
      </w:r>
    </w:p>
    <w:p>
      <w:pPr>
        <w:pStyle w:val="style0"/>
        <w:shd w:fill="FFFFFF" w:val="clear"/>
        <w:spacing w:after="28" w:before="28" w:line="300" w:lineRule="atLeast"/>
        <w:jc w:val="both"/>
      </w:pPr>
      <w:bookmarkStart w:id="510" w:name="LOC_ART.210"/>
      <w:bookmarkStart w:id="511" w:name="SE270"/>
      <w:bookmarkEnd w:id="510"/>
      <w:bookmarkEnd w:id="511"/>
      <w:r>
        <w:rPr>
          <w:rFonts w:ascii="Verdana" w:cs="Times New Roman" w:eastAsia="Times New Roman" w:hAnsi="Verdana"/>
          <w:b/>
          <w:bCs/>
          <w:caps/>
          <w:color w:val="0087AD"/>
          <w:sz w:val="17"/>
          <w:lang w:eastAsia="es-ES"/>
        </w:rPr>
        <w:t>ARTÍCULO 210.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plataformas elevadoras móviles de personal (PEMP)</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plataformas incluidas en este apartado tienen la consideración de aparatos de elevación de personas. Por lo tanto, les es de aplicación el Real Decreto 1644/2008, de 10 de octubre, por el que se establecen las normas para la comercialización y puesta en servicio de las máquinas, y les resulta exigible que dispongan del «marcado CE», declaración «CE» de conformidad y manual de instrucciones.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 aquellas plataformas que por su fecha de comercialización o de puesta en servicio por primera vez no les sea de aplicación el referido Real Decreto 1644/2008, de 10 de octubre, por el que se establecen las normas para la comercialización y puesta en servicio de las máquinas, deberán estar puestas en conformidad, de acuerdo con lo establecido en el Real Decreto 1215/1997, 18 de julio, por el que se establecen las Disposiciones mínimas de seguridad y salud para la utilización de los trabajadores de equipos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Por lo que refiere a la utilización de estos tipos de plataformas, se atenderá a lo dispuesto en el Real Decreto 1215/1997, 18 de julio, modificado por el Real Decreto 2177/2004, de 12 de noviembre.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Durante su utilización deberán cumplirse, entre otras, las siguientes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personal operador debe estar cualificado y formado. No se permitirá la utilización y el acceso a personas carentes de autorización.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deben utilizarse en operaciones o en condiciones contraindicadas por el fabricante y se cumplirán las especificaciones establecidas por el mismo en cuanto a su uso y limitación de carga.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debe reconocer previamente el terreno por donde debe desplazarse la plataforma asegurando que esté nivelado y sea estable.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plataforma no debe conducirse ni circular por pendientes superiores a las indicadas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se deben cargar materiales de mayor volumen y peso de lo previsto por el fabricante. Las cargas deberán estar repartidas uniformemente por el piso de la plataforma.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Debe verificarse la ausencia de líneas eléctricas aéreas en el entorno así como la presencia de elementos fijos que interfieran el desplazamiento espacial de la plataforma.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 preceptivo el uso de arnés anticaídas por parte de los trabajadores.</w:t>
      </w:r>
    </w:p>
    <w:p>
      <w:pPr>
        <w:pStyle w:val="style0"/>
        <w:shd w:fill="FFFFFF" w:val="clear"/>
        <w:spacing w:after="28" w:before="28" w:line="300" w:lineRule="atLeast"/>
        <w:jc w:val="both"/>
      </w:pPr>
      <w:bookmarkStart w:id="512" w:name="LOC_ART.211"/>
      <w:bookmarkStart w:id="513" w:name="SE271"/>
      <w:bookmarkEnd w:id="512"/>
      <w:bookmarkEnd w:id="513"/>
      <w:r>
        <w:rPr>
          <w:rFonts w:ascii="Verdana" w:cs="Times New Roman" w:eastAsia="Times New Roman" w:hAnsi="Verdana"/>
          <w:b/>
          <w:bCs/>
          <w:caps/>
          <w:color w:val="0087AD"/>
          <w:sz w:val="17"/>
          <w:lang w:eastAsia="es-ES"/>
        </w:rPr>
        <w:t>ARTÍCULO 211.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Normas específicas para cestas suspendidas mediante grúas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Este sistema de elevación de personas y realización de trabajos en altura sólo debe utilizarse excepcionalmente, cuando por el tipo de trabajos a ejecutar, la altura a la que se deba subir, la duración de la utilización, y las características o inaccesibilidad por otros medios hasta el emplazamiento, el estudio de seguridad, el plan de seguridad o la evaluación de riesgos determinen que no sea posible la elección de otros equipos más seguros y siempre que de la documentación técnica resulte que los trabajos pueden realizarse de forma segura.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Además de lo indicado en el apartado anterior, la utilización de estas cestas se limitará a circunstancias en las que la evaluación de riesgos indique que el trabajo puede ejecutarse de manera segura mediante la aplicación de los principios de prevención. Es decir, luego de que se hayan elegido los equipos y procedimientos de trabajo adecuados –teniendo en cuenta el estado del desarrollo tecnológico– y se haya formado e informado a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Su elección no podrá subordinarse a criterios económicos.</w:t>
      </w:r>
    </w:p>
    <w:p>
      <w:pPr>
        <w:pStyle w:val="style0"/>
        <w:shd w:fill="FFFFFF" w:val="clear"/>
        <w:spacing w:after="28" w:before="28" w:line="300" w:lineRule="atLeast"/>
        <w:jc w:val="both"/>
      </w:pPr>
      <w:bookmarkStart w:id="514" w:name="LOC_CAP.4"/>
      <w:bookmarkStart w:id="515" w:name="SE272"/>
      <w:bookmarkEnd w:id="514"/>
      <w:bookmarkEnd w:id="515"/>
      <w:r>
        <w:rPr>
          <w:rFonts w:ascii="Verdana" w:cs="Times New Roman" w:eastAsia="Times New Roman" w:hAnsi="Verdana"/>
          <w:b/>
          <w:bCs/>
          <w:color w:val="0087AD"/>
          <w:sz w:val="21"/>
          <w:lang w:eastAsia="es-ES"/>
        </w:rPr>
        <w:t>CAPÍTULO IV.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DE MOVIMIENTOS DE TIERRAS, EXCAVACIÓN, POZOS, TRABAJOS SUBTERRÁNEOS Y TÚNELES</w:t>
      </w:r>
    </w:p>
    <w:p>
      <w:pPr>
        <w:pStyle w:val="style0"/>
        <w:shd w:fill="FFFFFF" w:val="clear"/>
        <w:spacing w:after="28" w:before="28" w:line="300" w:lineRule="atLeast"/>
        <w:jc w:val="both"/>
      </w:pPr>
      <w:bookmarkStart w:id="516" w:name="LOC_ART.212"/>
      <w:bookmarkStart w:id="517" w:name="SE273"/>
      <w:bookmarkEnd w:id="516"/>
      <w:bookmarkEnd w:id="517"/>
      <w:r>
        <w:rPr>
          <w:rFonts w:ascii="Verdana" w:cs="Times New Roman" w:eastAsia="Times New Roman" w:hAnsi="Verdana"/>
          <w:b/>
          <w:bCs/>
          <w:caps/>
          <w:color w:val="0087AD"/>
          <w:sz w:val="17"/>
          <w:lang w:eastAsia="es-ES"/>
        </w:rPr>
        <w:t>ARTÍCULO 212.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Medidas a adoptar antes del inicio de los trabajos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Antes de comenzar los trabajos de movimientos de tierras, y de excavación, deberán tomarse medidas para localizar y reducir al mínimo los peligros debidos a cables subterráneos, así como aéreos y demás sistemas de distribución.</w:t>
      </w:r>
    </w:p>
    <w:p>
      <w:pPr>
        <w:pStyle w:val="style0"/>
        <w:shd w:fill="FFFFFF" w:val="clear"/>
        <w:spacing w:after="28" w:before="28" w:line="300" w:lineRule="atLeast"/>
        <w:jc w:val="both"/>
      </w:pPr>
      <w:bookmarkStart w:id="518" w:name="LOC_ART.213"/>
      <w:bookmarkStart w:id="519" w:name="SE274"/>
      <w:bookmarkEnd w:id="518"/>
      <w:bookmarkEnd w:id="519"/>
      <w:r>
        <w:rPr>
          <w:rFonts w:ascii="Verdana" w:cs="Times New Roman" w:eastAsia="Times New Roman" w:hAnsi="Verdana"/>
          <w:b/>
          <w:bCs/>
          <w:caps/>
          <w:color w:val="0087AD"/>
          <w:sz w:val="17"/>
          <w:lang w:eastAsia="es-ES"/>
        </w:rPr>
        <w:t>ARTÍCULO 213.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Medidas a adoptar durante los trabajos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los trabajos de excavación en general, pozos, trabajos subterráneos y túneles se adoptarán las precauciones necesarias especificadas, en su caso, en el proyecto de ejecución de la obra, a fin de evitar derrumbamientos según la naturaleza y las condiciones del terreno y la forma de realización de dichos trabajos.</w:t>
      </w:r>
    </w:p>
    <w:p>
      <w:pPr>
        <w:pStyle w:val="style0"/>
        <w:shd w:fill="FFFFFF" w:val="clear"/>
        <w:spacing w:after="28" w:before="28" w:line="300" w:lineRule="atLeast"/>
        <w:jc w:val="both"/>
      </w:pPr>
      <w:bookmarkStart w:id="520" w:name="LOC_ART.214"/>
      <w:bookmarkStart w:id="521" w:name="SE275"/>
      <w:bookmarkEnd w:id="520"/>
      <w:bookmarkEnd w:id="521"/>
      <w:r>
        <w:rPr>
          <w:rFonts w:ascii="Verdana" w:cs="Times New Roman" w:eastAsia="Times New Roman" w:hAnsi="Verdana"/>
          <w:b/>
          <w:bCs/>
          <w:caps/>
          <w:color w:val="0087AD"/>
          <w:sz w:val="17"/>
          <w:lang w:eastAsia="es-ES"/>
        </w:rPr>
        <w:t>ARTÍCULO 214.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Acumulaciones de tierras, escombros o materiales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acumulaciones de tierras, escombros o materiales, y los vehículos en movimiento deberán mantenerse alejados de las excavaciones o deberán tomarse las medidas adecuadas, en su caso, mediante la construcción de barreras, para evitar su caída en las mismas o el derrumbamiento del terreno.</w:t>
      </w:r>
    </w:p>
    <w:p>
      <w:pPr>
        <w:pStyle w:val="style0"/>
        <w:shd w:fill="FFFFFF" w:val="clear"/>
        <w:spacing w:after="28" w:before="28" w:line="300" w:lineRule="atLeast"/>
        <w:jc w:val="both"/>
      </w:pPr>
      <w:bookmarkStart w:id="522" w:name="LOC_ART.215"/>
      <w:bookmarkStart w:id="523" w:name="SE276"/>
      <w:bookmarkEnd w:id="522"/>
      <w:bookmarkEnd w:id="523"/>
      <w:r>
        <w:rPr>
          <w:rFonts w:ascii="Verdana" w:cs="Times New Roman" w:eastAsia="Times New Roman" w:hAnsi="Verdana"/>
          <w:b/>
          <w:bCs/>
          <w:caps/>
          <w:color w:val="0087AD"/>
          <w:sz w:val="17"/>
          <w:lang w:eastAsia="es-ES"/>
        </w:rPr>
        <w:t>ARTÍCULO 215.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Vías de entrada y salida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Deberán preverse vías seguras para entrar y salir de la excavación.</w:t>
      </w:r>
    </w:p>
    <w:p>
      <w:pPr>
        <w:pStyle w:val="style0"/>
        <w:shd w:fill="FFFFFF" w:val="clear"/>
        <w:spacing w:after="28" w:before="28" w:line="300" w:lineRule="atLeast"/>
        <w:jc w:val="both"/>
      </w:pPr>
      <w:bookmarkStart w:id="524" w:name="LOC_ART.216"/>
      <w:bookmarkStart w:id="525" w:name="SE277"/>
      <w:bookmarkEnd w:id="524"/>
      <w:bookmarkEnd w:id="525"/>
      <w:r>
        <w:rPr>
          <w:rFonts w:ascii="Verdana" w:cs="Times New Roman" w:eastAsia="Times New Roman" w:hAnsi="Verdana"/>
          <w:b/>
          <w:bCs/>
          <w:caps/>
          <w:color w:val="0087AD"/>
          <w:sz w:val="17"/>
          <w:lang w:eastAsia="es-ES"/>
        </w:rPr>
        <w:t>ARTÍCULO 216.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Ascensos y descensos de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Queda prohibido servirse del propio entramado, entibado o encofrado para el descenso o ascenso de los trabajadores. A tal efecto se emplearán escaleras, adoptando las medidas de seguridad correspondientes.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se empleen ascensores para la subida y el descenso de los trabajadores en los pozos, se adoptarán las medidas de seguridad correspondientes.</w:t>
      </w:r>
    </w:p>
    <w:p>
      <w:pPr>
        <w:pStyle w:val="style0"/>
        <w:shd w:fill="FFFFFF" w:val="clear"/>
        <w:spacing w:after="28" w:before="28" w:line="300" w:lineRule="atLeast"/>
        <w:jc w:val="both"/>
      </w:pPr>
      <w:bookmarkStart w:id="526" w:name="LOC_ART.217"/>
      <w:bookmarkStart w:id="527" w:name="SE278"/>
      <w:bookmarkEnd w:id="526"/>
      <w:bookmarkEnd w:id="527"/>
      <w:r>
        <w:rPr>
          <w:rFonts w:ascii="Verdana" w:cs="Times New Roman" w:eastAsia="Times New Roman" w:hAnsi="Verdana"/>
          <w:b/>
          <w:bCs/>
          <w:caps/>
          <w:color w:val="0087AD"/>
          <w:sz w:val="17"/>
          <w:lang w:eastAsia="es-ES"/>
        </w:rPr>
        <w:t>ARTÍCULO 217.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Ventilación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dispondrá de buena ventilación -natural o forzada- en los pozos y galerías subterráneas, adoptando las medidas necesarias para que los trabajadores dispongan de aire sano suficiente.</w:t>
      </w:r>
    </w:p>
    <w:p>
      <w:pPr>
        <w:pStyle w:val="style0"/>
        <w:shd w:fill="FFFFFF" w:val="clear"/>
        <w:spacing w:after="28" w:before="28" w:line="300" w:lineRule="atLeast"/>
        <w:jc w:val="both"/>
      </w:pPr>
      <w:bookmarkStart w:id="528" w:name="LOC_ART.218"/>
      <w:bookmarkStart w:id="529" w:name="SE279"/>
      <w:bookmarkEnd w:id="528"/>
      <w:bookmarkEnd w:id="529"/>
      <w:r>
        <w:rPr>
          <w:rFonts w:ascii="Verdana" w:cs="Times New Roman" w:eastAsia="Times New Roman" w:hAnsi="Verdana"/>
          <w:b/>
          <w:bCs/>
          <w:caps/>
          <w:color w:val="0087AD"/>
          <w:sz w:val="17"/>
          <w:lang w:eastAsia="es-ES"/>
        </w:rPr>
        <w:t>ARTÍCULO 218.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en atmósferas peligrosas o tóxicas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 carácter previo al inicio de trabajos en los que puedan existir atmósferas peligrosas o tóxicas deberá elaborarse el correspondiente procedimiento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todo caso, en dicho procedimiento se incluirán, entre otras, las siguientes medidas preventivas: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Antes de acceder a pozos o galerías en las que por circunstancias especiales sea de temer la existencia de un ambiente peligroso o tóxico, se harán las pruebas y mediciones necesarias para conocer el estado de la atmósfera; igualmente deberán adoptarse las medidas para prevenir la formación y acumulación de atmósferas explosivas.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trabajadores no podrán penetrar hasta después de haber tomado las precauciones oportunas para impedir cualquier accidente por intoxicación, asfixia o explosión.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El trabajo en espacios confinados deberá ser supervisado y no se permitirá el acceso a trabajadores no autorizados y que no estén suficiente cualificados, formados e informados de los riesgos correspondientes.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Cuando en el desarrollo de los trabajos se noten síntomas que hagan temer la presencia de un peligro grave o la falta de oxígeno, deberá darse cuenta inmediata al supervisor de los trabajos, se suspenderá la actividad y se abandonará inmediatamente el lugar de trabajo.</w:t>
      </w:r>
    </w:p>
    <w:p>
      <w:pPr>
        <w:pStyle w:val="style0"/>
        <w:shd w:fill="FFFFFF" w:val="clear"/>
        <w:spacing w:after="28" w:before="28" w:line="300" w:lineRule="atLeast"/>
        <w:jc w:val="both"/>
      </w:pPr>
      <w:bookmarkStart w:id="530" w:name="LOC_ART.219"/>
      <w:bookmarkStart w:id="531" w:name="SE280"/>
      <w:bookmarkEnd w:id="530"/>
      <w:bookmarkEnd w:id="531"/>
      <w:r>
        <w:rPr>
          <w:rFonts w:ascii="Verdana" w:cs="Times New Roman" w:eastAsia="Times New Roman" w:hAnsi="Verdana"/>
          <w:b/>
          <w:bCs/>
          <w:caps/>
          <w:color w:val="0087AD"/>
          <w:sz w:val="17"/>
          <w:lang w:eastAsia="es-ES"/>
        </w:rPr>
        <w:t>ARTÍCULO 219.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trabajos subterráneos deberán estar equipados en su totalidad con un alumbrado eléctrico capaz de ofrecer una iluminación adecuada a las tareas que se realizan en ellos; para evitar los riesgos derivados de avería en la iluminación artificial, se dispondrá otra complementaria de seguridad que permita asegurar la evacuación de personal en caso de faltar corriente. De ser imposible la iluminación artificial, se dotará a los trabajadores de iluminación individual.</w:t>
      </w:r>
    </w:p>
    <w:p>
      <w:pPr>
        <w:pStyle w:val="style0"/>
        <w:shd w:fill="FFFFFF" w:val="clear"/>
        <w:spacing w:after="28" w:before="28" w:line="300" w:lineRule="atLeast"/>
        <w:jc w:val="both"/>
      </w:pPr>
      <w:bookmarkStart w:id="532" w:name="LOC_ART.220"/>
      <w:bookmarkStart w:id="533" w:name="SE281"/>
      <w:bookmarkEnd w:id="532"/>
      <w:bookmarkEnd w:id="533"/>
      <w:r>
        <w:rPr>
          <w:rFonts w:ascii="Verdana" w:cs="Times New Roman" w:eastAsia="Times New Roman" w:hAnsi="Verdana"/>
          <w:b/>
          <w:bCs/>
          <w:caps/>
          <w:color w:val="0087AD"/>
          <w:sz w:val="17"/>
          <w:lang w:eastAsia="es-ES"/>
        </w:rPr>
        <w:t>ARTÍCULO 220.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Medidas en caso de incendio, irrupción de agua o caída de materiales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las excavaciones, pozos, trabajos subterráneos o túneles deberán tomarse las precauciones adecuadas tanto para prevenir la irrupción accidental de agua mediante los sistemas o medidas adecuados, como para permitir que los trabajadores puedan ponerse a salvo en el caso de que se produzca un incendio, una irrupción de agua o la caída de materiales.</w:t>
      </w:r>
    </w:p>
    <w:p>
      <w:pPr>
        <w:pStyle w:val="style0"/>
        <w:shd w:fill="FFFFFF" w:val="clear"/>
        <w:spacing w:after="28" w:before="28" w:line="300" w:lineRule="atLeast"/>
        <w:jc w:val="both"/>
      </w:pPr>
      <w:bookmarkStart w:id="534" w:name="LOC_CAP.5"/>
      <w:bookmarkStart w:id="535" w:name="SE282"/>
      <w:bookmarkEnd w:id="534"/>
      <w:bookmarkEnd w:id="535"/>
      <w:r>
        <w:rPr>
          <w:rFonts w:ascii="Verdana" w:cs="Times New Roman" w:eastAsia="Times New Roman" w:hAnsi="Verdana"/>
          <w:b/>
          <w:bCs/>
          <w:color w:val="0087AD"/>
          <w:sz w:val="21"/>
          <w:lang w:eastAsia="es-ES"/>
        </w:rPr>
        <w:t>CAPÍTULO 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OTROS TRABAJOS ESPECÍFICOS</w:t>
      </w:r>
    </w:p>
    <w:p>
      <w:pPr>
        <w:pStyle w:val="style0"/>
        <w:shd w:fill="FFFFFF" w:val="clear"/>
        <w:spacing w:after="28" w:before="28" w:line="300" w:lineRule="atLeast"/>
        <w:jc w:val="both"/>
      </w:pPr>
      <w:bookmarkStart w:id="536" w:name="SE283"/>
      <w:bookmarkEnd w:id="536"/>
      <w:r>
        <w:rPr>
          <w:rFonts w:ascii="Verdana" w:cs="Times New Roman" w:eastAsia="Times New Roman" w:hAnsi="Verdana"/>
          <w:b/>
          <w:bCs/>
          <w:color w:val="0087AD"/>
          <w:sz w:val="21"/>
          <w:lang w:eastAsia="es-ES"/>
        </w:rPr>
        <w:t>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de demolición</w:t>
      </w:r>
    </w:p>
    <w:p>
      <w:pPr>
        <w:pStyle w:val="style0"/>
        <w:shd w:fill="FFFFFF" w:val="clear"/>
        <w:spacing w:after="28" w:before="28" w:line="300" w:lineRule="atLeast"/>
        <w:jc w:val="both"/>
      </w:pPr>
      <w:bookmarkStart w:id="537" w:name="LOC_ART.221"/>
      <w:bookmarkStart w:id="538" w:name="SE284"/>
      <w:bookmarkEnd w:id="537"/>
      <w:bookmarkEnd w:id="538"/>
      <w:r>
        <w:rPr>
          <w:rFonts w:ascii="Verdana" w:cs="Times New Roman" w:eastAsia="Times New Roman" w:hAnsi="Verdana"/>
          <w:b/>
          <w:bCs/>
          <w:caps/>
          <w:color w:val="0087AD"/>
          <w:sz w:val="17"/>
          <w:lang w:eastAsia="es-ES"/>
        </w:rPr>
        <w:t>ARTÍCULO 221.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 acerca de los trabajos de demolición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trabajos de derribo o demolición que puedan suponer un peligro para los trabajadores deberán estudiarse, planificarse y emprenderse bajo la supervisión de una persona competente y deberán realizarse adoptando las precauciones, métodos y procedimientos apropiados.</w:t>
      </w:r>
    </w:p>
    <w:p>
      <w:pPr>
        <w:pStyle w:val="style0"/>
        <w:shd w:fill="FFFFFF" w:val="clear"/>
        <w:spacing w:after="28" w:before="28" w:line="300" w:lineRule="atLeast"/>
        <w:jc w:val="both"/>
      </w:pPr>
      <w:bookmarkStart w:id="539" w:name="LOC_ART.222"/>
      <w:bookmarkStart w:id="540" w:name="SE285"/>
      <w:bookmarkEnd w:id="539"/>
      <w:bookmarkEnd w:id="540"/>
      <w:r>
        <w:rPr>
          <w:rFonts w:ascii="Verdana" w:cs="Times New Roman" w:eastAsia="Times New Roman" w:hAnsi="Verdana"/>
          <w:b/>
          <w:bCs/>
          <w:caps/>
          <w:color w:val="0087AD"/>
          <w:sz w:val="17"/>
          <w:lang w:eastAsia="es-ES"/>
        </w:rPr>
        <w:t>ARTÍCULO 222.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Medidas a adoptar antes del inicio de los trabajos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 carácter previo al inicio de los trabajos deberán analizarse las condiciones del edificio y de las instalaciones preexistentes, investigando, para la adopción de las medidas preventivas necesarias, su uso o usos anteriores, las condiciones de conservación y de estabilidad de la obra en su conjunto, de cada parte de la misma, y de las edificaciones adyacentes.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resultado del estudio anterior se concretará en un plan de demolición en el que constará la técnica elegida así como las personas y los medios más adecuados para realizar el trabajo.</w:t>
      </w:r>
    </w:p>
    <w:p>
      <w:pPr>
        <w:pStyle w:val="style0"/>
        <w:shd w:fill="FFFFFF" w:val="clear"/>
        <w:spacing w:after="28" w:before="28" w:line="300" w:lineRule="atLeast"/>
        <w:jc w:val="both"/>
      </w:pPr>
      <w:bookmarkStart w:id="541" w:name="LOC_ART.223"/>
      <w:bookmarkStart w:id="542" w:name="SE286"/>
      <w:bookmarkEnd w:id="541"/>
      <w:bookmarkEnd w:id="542"/>
      <w:r>
        <w:rPr>
          <w:rFonts w:ascii="Verdana" w:cs="Times New Roman" w:eastAsia="Times New Roman" w:hAnsi="Verdana"/>
          <w:b/>
          <w:bCs/>
          <w:caps/>
          <w:color w:val="0087AD"/>
          <w:sz w:val="17"/>
          <w:lang w:eastAsia="es-ES"/>
        </w:rPr>
        <w:t>ARTÍCULO 223.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Medidas en los casos de presencia de amianto o residuos peligrosos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el edificio tenga incorporados amianto, o residuos peligrosos se tendrá en cuenta la normativa aplicable en especial el Real Decreto 396/2006, de 31 de marzo, y Ley 10/1998, de 5 de diciembre, además de las disposiciones de carácter autonómico, respectivamente.</w:t>
      </w:r>
    </w:p>
    <w:p>
      <w:pPr>
        <w:pStyle w:val="style0"/>
        <w:shd w:fill="FFFFFF" w:val="clear"/>
        <w:spacing w:after="28" w:before="28" w:line="300" w:lineRule="atLeast"/>
        <w:jc w:val="both"/>
      </w:pPr>
      <w:bookmarkStart w:id="543" w:name="LOC_ART.224"/>
      <w:bookmarkStart w:id="544" w:name="SE287"/>
      <w:bookmarkEnd w:id="543"/>
      <w:bookmarkEnd w:id="544"/>
      <w:r>
        <w:rPr>
          <w:rFonts w:ascii="Verdana" w:cs="Times New Roman" w:eastAsia="Times New Roman" w:hAnsi="Verdana"/>
          <w:b/>
          <w:bCs/>
          <w:caps/>
          <w:color w:val="0087AD"/>
          <w:sz w:val="17"/>
          <w:lang w:eastAsia="es-ES"/>
        </w:rPr>
        <w:t>ARTÍCULO 224.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Actuaciones antes de la demolición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Antes de iniciar la demolición será necesario neutralizar o anular las instalaciones de electricidad, gas y agua existentes en la zona de ejecución de los trabajos. Para ello, es necesario vaciar los depósitos, tuberías, contadores, incluida la acometida a la red de saneamiento.</w:t>
      </w:r>
    </w:p>
    <w:p>
      <w:pPr>
        <w:pStyle w:val="style0"/>
        <w:shd w:fill="FFFFFF" w:val="clear"/>
        <w:spacing w:after="28" w:before="28" w:line="300" w:lineRule="atLeast"/>
        <w:jc w:val="both"/>
      </w:pPr>
      <w:bookmarkStart w:id="545" w:name="LOC_ART.225"/>
      <w:bookmarkStart w:id="546" w:name="SE288"/>
      <w:bookmarkEnd w:id="545"/>
      <w:bookmarkEnd w:id="546"/>
      <w:r>
        <w:rPr>
          <w:rFonts w:ascii="Verdana" w:cs="Times New Roman" w:eastAsia="Times New Roman" w:hAnsi="Verdana"/>
          <w:b/>
          <w:bCs/>
          <w:caps/>
          <w:color w:val="0087AD"/>
          <w:sz w:val="17"/>
          <w:lang w:eastAsia="es-ES"/>
        </w:rPr>
        <w:t>ARTÍCULO 225.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Evacuación de escombros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Para la evacuación de los escombros durante la realización de los trabajos de demolición deberán tenerse en cuenta, entre otras, las siguientes medidas: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Evitar acopios de materiales que puedan sobrecargar los forjados.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arrojar escombros. Éstos se evacuarán a través de canaletas, tolvas, bateas,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Para reducir el rebote a distancia de los materiales, la extremidad inferior del conducto de evacuación estará convenientemente protegida mediante pantallas, lonas, etc. En todo caso, se limitará, en los tramos finales del conducto, la proyección vertical del mismo.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Será necesario regar los escombros para evitar la formación de polvo.</w:t>
      </w:r>
    </w:p>
    <w:p>
      <w:pPr>
        <w:pStyle w:val="style0"/>
        <w:shd w:fill="FFFFFF" w:val="clear"/>
        <w:spacing w:after="28" w:before="28" w:line="300" w:lineRule="atLeast"/>
        <w:jc w:val="both"/>
      </w:pPr>
      <w:bookmarkStart w:id="547" w:name="SE289"/>
      <w:bookmarkEnd w:id="547"/>
      <w:r>
        <w:rPr>
          <w:rFonts w:ascii="Verdana" w:cs="Times New Roman" w:eastAsia="Times New Roman" w:hAnsi="Verdana"/>
          <w:b/>
          <w:bCs/>
          <w:color w:val="0087AD"/>
          <w:sz w:val="21"/>
          <w:lang w:eastAsia="es-ES"/>
        </w:rPr>
        <w:t>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Trabajos con explosivos y en cajones de aire comprimido</w:t>
      </w:r>
    </w:p>
    <w:p>
      <w:pPr>
        <w:pStyle w:val="style0"/>
        <w:shd w:fill="FFFFFF" w:val="clear"/>
        <w:spacing w:after="28" w:before="28" w:line="300" w:lineRule="atLeast"/>
        <w:jc w:val="both"/>
      </w:pPr>
      <w:bookmarkStart w:id="548" w:name="LOC_ART.226"/>
      <w:bookmarkStart w:id="549" w:name="SE290"/>
      <w:bookmarkEnd w:id="548"/>
      <w:bookmarkEnd w:id="549"/>
      <w:r>
        <w:rPr>
          <w:rFonts w:ascii="Verdana" w:cs="Times New Roman" w:eastAsia="Times New Roman" w:hAnsi="Verdana"/>
          <w:b/>
          <w:bCs/>
          <w:caps/>
          <w:color w:val="0087AD"/>
          <w:sz w:val="17"/>
          <w:lang w:eastAsia="es-ES"/>
        </w:rPr>
        <w:t>ARTÍCULO 226.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Realización de trabajos con explosivos y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realización de estos trabajos se ajustará a lo dispuesto en su normativa específica.</w:t>
      </w:r>
    </w:p>
    <w:p>
      <w:pPr>
        <w:pStyle w:val="style0"/>
        <w:shd w:fill="FFFFFF" w:val="clear"/>
        <w:spacing w:after="28" w:before="28" w:line="300" w:lineRule="atLeast"/>
        <w:jc w:val="both"/>
      </w:pPr>
      <w:bookmarkStart w:id="550" w:name="LOC_CAP.6"/>
      <w:bookmarkStart w:id="551" w:name="SE291"/>
      <w:bookmarkEnd w:id="550"/>
      <w:bookmarkEnd w:id="551"/>
      <w:r>
        <w:rPr>
          <w:rFonts w:ascii="Verdana" w:cs="Times New Roman" w:eastAsia="Times New Roman" w:hAnsi="Verdana"/>
          <w:b/>
          <w:bCs/>
          <w:color w:val="0087AD"/>
          <w:sz w:val="21"/>
          <w:lang w:eastAsia="es-ES"/>
        </w:rPr>
        <w:t>CAPÍTULO VI.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EQUIPOS DE TRABAJO Y MAQUINARIA DE OBRA</w:t>
      </w:r>
    </w:p>
    <w:p>
      <w:pPr>
        <w:pStyle w:val="style0"/>
        <w:shd w:fill="FFFFFF" w:val="clear"/>
        <w:spacing w:after="28" w:before="28" w:line="300" w:lineRule="atLeast"/>
        <w:jc w:val="both"/>
      </w:pPr>
      <w:bookmarkStart w:id="552" w:name="SE292"/>
      <w:bookmarkEnd w:id="552"/>
      <w:r>
        <w:rPr>
          <w:rFonts w:ascii="Verdana" w:cs="Times New Roman" w:eastAsia="Times New Roman" w:hAnsi="Verdana"/>
          <w:b/>
          <w:bCs/>
          <w:color w:val="0087AD"/>
          <w:sz w:val="21"/>
          <w:lang w:eastAsia="es-ES"/>
        </w:rPr>
        <w:t>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bookmarkStart w:id="553" w:name="LOC_ART.227"/>
      <w:bookmarkStart w:id="554" w:name="SE293"/>
      <w:bookmarkEnd w:id="553"/>
      <w:bookmarkEnd w:id="554"/>
      <w:r>
        <w:rPr>
          <w:rFonts w:ascii="Verdana" w:cs="Times New Roman" w:eastAsia="Times New Roman" w:hAnsi="Verdana"/>
          <w:b/>
          <w:bCs/>
          <w:caps/>
          <w:color w:val="0087AD"/>
          <w:sz w:val="17"/>
          <w:lang w:eastAsia="es-ES"/>
        </w:rPr>
        <w:t>ARTÍCULO 227.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Aparatos elevadores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estos aparatos les es de aplicación el Real Decreto 1644/2008, de 10 de octubre, por el que se establecen las normas para la comercialización y puesta en servicio de las máquinas, y les resulta exigible que dispongan del «marcado CE», declaración «CE» de conformidad y manual de instrucciones.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Aquellos aparatos que por su fecha de comercialización o de puesta en servicio por primera vez no les sea de aplicación el referido Real Decreto 1644/2008, de 10 de octubre, por el que se establecen las normas para la comercialización y puesta en servicio de las máquinas, deberán estar puestos en conformidad de acuerdo con lo establecido en el Real Decreto 1215/1997, 18 de julio.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lo que refiere a la utilización de estos aparatos, se atenderá a lo dispuesto en el Real Decreto 1215/1997, de 18 de julio, modificado por el Real Decreto 2177/2004, de 12 de noviembre.</w:t>
      </w:r>
    </w:p>
    <w:p>
      <w:pPr>
        <w:pStyle w:val="style0"/>
        <w:shd w:fill="FFFFFF" w:val="clear"/>
        <w:spacing w:after="28" w:before="28" w:line="300" w:lineRule="atLeast"/>
        <w:jc w:val="both"/>
      </w:pPr>
      <w:bookmarkStart w:id="555" w:name="LOC_ART.228"/>
      <w:bookmarkStart w:id="556" w:name="SE294"/>
      <w:bookmarkEnd w:id="555"/>
      <w:bookmarkEnd w:id="556"/>
      <w:r>
        <w:rPr>
          <w:rFonts w:ascii="Verdana" w:cs="Times New Roman" w:eastAsia="Times New Roman" w:hAnsi="Verdana"/>
          <w:b/>
          <w:bCs/>
          <w:caps/>
          <w:color w:val="0087AD"/>
          <w:sz w:val="17"/>
          <w:lang w:eastAsia="es-ES"/>
        </w:rPr>
        <w:t>ARTÍCULO 228.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 de los aparatos elevadores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aparatos elevadores y los accesorios de izado, incluidos sus elementos constitutivos, de fijación, anclajes y soportes, deberán: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Ser de buen diseño y construcción y tener una resistencia suficiente para el uso al que estén destinados.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Instalarse y utilizarse correctamente.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Mantenerse en buen estado de funcionamiento.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Ser manejados por trabajadores cualificados y autorizados que hayan recibido una formación adecuada.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los aparatos elevadores y en los accesorios de izado se deberá colocar, de manera visible, la indicación del valor de su carga máxima que, en ningún caso, debe ser sobrepasada.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aparatos elevadores al igual que sus accesorios no podrán utilizarse para fines distintos de aquellos a los que estén previstos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Durante la utilización de los aparatos elevadores deberán tenerse en cuenta, entre otras, las siguientes medidas: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Controlar la estabilidad del terreno o de la base de apoyo de los aparatos de elevación.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Revisar el estado de los cables, cadenas y ganchos, y anular las eslingas de cables de acero que estén aplastadas, tengan hilos rotos,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Conocer el operador la carga máxima admisible, no sólo de la maquinaria o equipo de elevación, sino también de los medios auxiliares que se hayan de emplear para el eslingado (cables, ganchos, etc.).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Estudiar el recorrido que se debe realizar con la carga hasta su ubicación eventual o definitiva, a fin de evitar interferencias en dicho recorrido.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operación de carga y descarga, si es necesario, será supervisada por personal especializado.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Si en la operación hubiese falta de visión del operador, será auxiliado por el correspondiente ayudante o señalista.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comprobará el correcto eslingado o embragado de las piezas para impedir desplazamientos no controlados y descuelgue de las cargas.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ejecutarán con suavidad los movimientos de arranque, parada y cualquier otra maniobra.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Está prohibido transportar personas con equipos de elevación de cargas.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tendrá especial cuidado con los equipos de elevación dirigidos por radio, debido a las posibles interferencias con otras frecuencias.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dejar cargadas nunca las grúas en situación de descanso.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deben utilizarse en condiciones meteorológicas adversas que superen lo previsto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Se prohíbe estacionarse o circular bajo las cargas suspendidas.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Los aparatos de elevación serán examinados y probados antes de su puesta en servicio. Ambos aspectos quedarán debidamente documentados.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Los ganchos de suspensión deberán contar con un dispositivo de seguridad que impida el desenganche o caída fortuita de las cargas suspendidas.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extremarán las medidas de seguridad, poniendo especial cuidado para evitar que los aparatos de elevación puedan impactar con las líneas eléctricas aéreas próximas al lugar de trabajo o al camino recorrido por aquéllos en sus desplazamientos; deberá mantenerse a la distancia mínima exigida por la normativa para evitar los contactos eléctricos. Las mismas medidas se adoptarán respecto de las cargas suspendidas por dichos aparatos de elevación.</w:t>
      </w:r>
    </w:p>
    <w:p>
      <w:pPr>
        <w:pStyle w:val="style0"/>
        <w:shd w:fill="FFFFFF" w:val="clear"/>
        <w:spacing w:after="28" w:before="28" w:line="300" w:lineRule="atLeast"/>
        <w:jc w:val="both"/>
      </w:pPr>
      <w:bookmarkStart w:id="557" w:name="LOC_ART.229"/>
      <w:bookmarkStart w:id="558" w:name="SE295"/>
      <w:bookmarkEnd w:id="557"/>
      <w:bookmarkEnd w:id="558"/>
      <w:r>
        <w:rPr>
          <w:rFonts w:ascii="Verdana" w:cs="Times New Roman" w:eastAsia="Times New Roman" w:hAnsi="Verdana"/>
          <w:b/>
          <w:bCs/>
          <w:caps/>
          <w:color w:val="0087AD"/>
          <w:sz w:val="17"/>
          <w:lang w:eastAsia="es-ES"/>
        </w:rPr>
        <w:t>ARTÍCULO 229.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específicas de las grúas torre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grúas torre deberán cumplir lo especificado en el Real Decreto 836/2003, de 27 de junio, por el que se aprueba la ITC-MIE-AEM-2 del Reglamento de aparatos de elevación y manutención, referente a grúas torre para obras u otras aplicaciones.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No debe utilizarse las grúas para realizar tracciones oblicuas, arrancar cargas adheridas u operaciones extrañas a la función de las mismas.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No deben elevarse con la grúa cargas que superen la permitida e indicada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Está prohibido balancear las cargas transportadas con las grúas para descargarlas más allá del alcance de las mismas.</w:t>
      </w:r>
    </w:p>
    <w:p>
      <w:pPr>
        <w:pStyle w:val="style0"/>
        <w:shd w:fill="FFFFFF" w:val="clear"/>
        <w:spacing w:after="28" w:before="28" w:line="300" w:lineRule="atLeast"/>
        <w:jc w:val="both"/>
      </w:pPr>
      <w:bookmarkStart w:id="559" w:name="LOC_ART.230"/>
      <w:bookmarkStart w:id="560" w:name="SE296"/>
      <w:bookmarkEnd w:id="559"/>
      <w:bookmarkEnd w:id="560"/>
      <w:r>
        <w:rPr>
          <w:rFonts w:ascii="Verdana" w:cs="Times New Roman" w:eastAsia="Times New Roman" w:hAnsi="Verdana"/>
          <w:b/>
          <w:bCs/>
          <w:caps/>
          <w:color w:val="0087AD"/>
          <w:sz w:val="17"/>
          <w:lang w:eastAsia="es-ES"/>
        </w:rPr>
        <w:t>ARTÍCULO 230.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específicas de las grúas móviles autopropulsadas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grúas móviles autopropulsadas deberán cumplir el Real Decreto 837/2003, de 27 de junio, por el que se aprueba la ITC-MIE-AEM-4 del Reglamento de aparatos de elevación y manutención referente a grúas móviles autopropulsadas.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grúas móviles autopropulsadas deberán estacionarse en los lugares establecidos, adecuadamente niveladas, y con placas de apoyo para el reparto de los gatos estabilizadores.</w:t>
      </w:r>
    </w:p>
    <w:p>
      <w:pPr>
        <w:pStyle w:val="style0"/>
        <w:shd w:fill="FFFFFF" w:val="clear"/>
        <w:spacing w:after="28" w:before="28" w:line="300" w:lineRule="atLeast"/>
        <w:jc w:val="both"/>
      </w:pPr>
      <w:bookmarkStart w:id="561" w:name="LOC_ART.231"/>
      <w:bookmarkStart w:id="562" w:name="SE297"/>
      <w:bookmarkEnd w:id="561"/>
      <w:bookmarkEnd w:id="562"/>
      <w:r>
        <w:rPr>
          <w:rFonts w:ascii="Verdana" w:cs="Times New Roman" w:eastAsia="Times New Roman" w:hAnsi="Verdana"/>
          <w:b/>
          <w:bCs/>
          <w:caps/>
          <w:color w:val="0087AD"/>
          <w:sz w:val="17"/>
          <w:lang w:eastAsia="es-ES"/>
        </w:rPr>
        <w:t>ARTÍCULO 231.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específicas de los montacargas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Está prohibido subir o bajar personas en los montacargas. Tal prohibición deber estar convenientemente señalizada. Así mismo estará indicada la carga máxima admisible de los mismos.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zonas de desembarco de los montacargas, en cada parada, estarán adecuadamente protegidas con elementos que mantengan el hueco cerrado mientras la plataforma no se encuentre enrasada en dicha parada. Estos elementos impedirán el desplazamiento de la plataforma si alguno de mismos estuvieran abiertos.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la parte inferior de la plataforma de los montacargas deberá instalarse un detector de obstáculos conectado a un dispositivo que detenga el desplazamiento de la misma cuando desciende, a fin de evitar atrapamientos.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la zona inferior donde se asienta la base de la estructura del montacargas debe establecerse una protección perimetral convenientemente señalizada.</w:t>
      </w:r>
    </w:p>
    <w:p>
      <w:pPr>
        <w:pStyle w:val="style0"/>
        <w:shd w:fill="FFFFFF" w:val="clear"/>
        <w:spacing w:after="28" w:before="28" w:line="300" w:lineRule="atLeast"/>
        <w:jc w:val="both"/>
      </w:pPr>
      <w:bookmarkStart w:id="563" w:name="LOC_ART.232"/>
      <w:bookmarkStart w:id="564" w:name="SE298"/>
      <w:bookmarkEnd w:id="563"/>
      <w:bookmarkEnd w:id="564"/>
      <w:r>
        <w:rPr>
          <w:rFonts w:ascii="Verdana" w:cs="Times New Roman" w:eastAsia="Times New Roman" w:hAnsi="Verdana"/>
          <w:b/>
          <w:bCs/>
          <w:caps/>
          <w:color w:val="0087AD"/>
          <w:sz w:val="17"/>
          <w:lang w:eastAsia="es-ES"/>
        </w:rPr>
        <w:t>ARTÍCULO 232.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específicas de cabestrante mecánico o maquinillo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Para la instalación y el uso de los cabestrantes mecánicos o maquinillos se atenderá a las instrucciones dadas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operador del cabrestante mecánico o maquinillo deberá utilizar, en función de las características del puesto de trabajo, un cinturón de retención anclado a punto fijo y resistente, distinto del propio cabestrante, o un sistema anticaídas.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la zona inferior de carga y descarga de los cabestrantes mecánicos o maquinillos se establecerán zonas protegidas que impidan el acceso a las mismas convenientemente señalizadas.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Durante las operaciones de transporte de cargas con los cabestrantes mecánicos o maquinillos se vigilará que el trayecto de recorrido de dichas cargas esté libre de obstáculos.</w:t>
      </w:r>
    </w:p>
    <w:p>
      <w:pPr>
        <w:pStyle w:val="style0"/>
        <w:shd w:fill="FFFFFF" w:val="clear"/>
        <w:spacing w:after="28" w:before="28" w:line="300" w:lineRule="atLeast"/>
        <w:jc w:val="both"/>
      </w:pPr>
      <w:bookmarkStart w:id="565" w:name="SE299"/>
      <w:bookmarkEnd w:id="565"/>
      <w:r>
        <w:rPr>
          <w:rFonts w:ascii="Verdana" w:cs="Times New Roman" w:eastAsia="Times New Roman" w:hAnsi="Verdana"/>
          <w:b/>
          <w:bCs/>
          <w:color w:val="0087AD"/>
          <w:sz w:val="21"/>
          <w:lang w:eastAsia="es-ES"/>
        </w:rPr>
        <w:t>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Maquinaria de movimiento de tierras</w:t>
      </w:r>
    </w:p>
    <w:p>
      <w:pPr>
        <w:pStyle w:val="style0"/>
        <w:shd w:fill="FFFFFF" w:val="clear"/>
        <w:spacing w:after="28" w:before="28" w:line="300" w:lineRule="atLeast"/>
        <w:jc w:val="both"/>
      </w:pPr>
      <w:bookmarkStart w:id="566" w:name="LOC_ART.233"/>
      <w:bookmarkStart w:id="567" w:name="SE300"/>
      <w:bookmarkEnd w:id="566"/>
      <w:bookmarkEnd w:id="567"/>
      <w:r>
        <w:rPr>
          <w:rFonts w:ascii="Verdana" w:cs="Times New Roman" w:eastAsia="Times New Roman" w:hAnsi="Verdana"/>
          <w:b/>
          <w:bCs/>
          <w:caps/>
          <w:color w:val="0087AD"/>
          <w:sz w:val="17"/>
          <w:lang w:eastAsia="es-ES"/>
        </w:rPr>
        <w:t>ARTÍCULO 233.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esta maquinaria le es de aplicación el Real Decreto 1644/2008, de 10 de octubre, por el que se establecen las normas para la comercialización y puesta en servicio de las máquinas y les resulta exigible que dispongan del «marcado CE», declaración «CE» de conformidad y manual de instrucciones.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Aquella maquinaria que por su fecha de comercialización o de puesta en servicio por primera vez no les sea de aplicación el referido Real Decreto 1644/2008, de 10 de octubre, por el que se establecen las normas para la comercialización y puesta en servicio de las máquinas, deberá estar puesta en conformidad, de acuerdo con lo establecido en el Real Decreto 1215/1997, de 18 de julio.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lo que refiere a la utilización de esta maquinaria, se atenderá a lo dispuesto en el Real Decreto 1215/1997, de 18 de julio.</w:t>
      </w:r>
    </w:p>
    <w:p>
      <w:pPr>
        <w:pStyle w:val="style0"/>
        <w:shd w:fill="FFFFFF" w:val="clear"/>
        <w:spacing w:after="28" w:before="28" w:line="300" w:lineRule="atLeast"/>
        <w:jc w:val="both"/>
      </w:pPr>
      <w:bookmarkStart w:id="568" w:name="LOC_ART.234"/>
      <w:bookmarkStart w:id="569" w:name="SE301"/>
      <w:bookmarkEnd w:id="568"/>
      <w:bookmarkEnd w:id="569"/>
      <w:r>
        <w:rPr>
          <w:rFonts w:ascii="Verdana" w:cs="Times New Roman" w:eastAsia="Times New Roman" w:hAnsi="Verdana"/>
          <w:b/>
          <w:bCs/>
          <w:caps/>
          <w:color w:val="0087AD"/>
          <w:sz w:val="17"/>
          <w:lang w:eastAsia="es-ES"/>
        </w:rPr>
        <w:t>ARTÍCULO 234.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 de la maquinaria de movimiento de tierras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maquinaria para movimientos de tierra debe cumplir, entre otras, las siguientes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Deberá ajustarse a lo dispuesto en su normativa específica.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De modo concreto, deberá:</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Estar bien proyectada y construida, teniendo en cuenta, en la medida de lo posible, los principios de la ergonomía.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Mantenerse en buen estado de funcionamiento.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Utilizarse correctamente.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Los conductores y personal encargado de la maquinaria para movimientos de tierras deberán recibir una formación e información adecuada.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Deberán adoptarse medidas preventivas para evitar que caigan en las excavaciones o en el agua.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Cuando sea necesario, esta maquinaria deberá estar equipada con estructuras concebidas para proteger al conductor contra el aplastamiento en el caso de vuelco de la máquina, y contra la caída de objetos.</w:t>
      </w:r>
    </w:p>
    <w:p>
      <w:pPr>
        <w:pStyle w:val="style0"/>
        <w:shd w:fill="FFFFFF" w:val="clear"/>
        <w:spacing w:after="28" w:before="28" w:line="300" w:lineRule="atLeast"/>
        <w:jc w:val="both"/>
      </w:pPr>
      <w:bookmarkStart w:id="570" w:name="LOC_ART.235"/>
      <w:bookmarkStart w:id="571" w:name="SE302"/>
      <w:bookmarkEnd w:id="570"/>
      <w:bookmarkEnd w:id="571"/>
      <w:r>
        <w:rPr>
          <w:rFonts w:ascii="Verdana" w:cs="Times New Roman" w:eastAsia="Times New Roman" w:hAnsi="Verdana"/>
          <w:b/>
          <w:bCs/>
          <w:caps/>
          <w:color w:val="0087AD"/>
          <w:sz w:val="17"/>
          <w:lang w:eastAsia="es-ES"/>
        </w:rPr>
        <w:t>ARTÍCULO 235.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Otras medidas preventivas aplicables a la maquinaria de movimiento de tierras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Entre otros medios preventivos aplicables a la maquinaria de movimiento de tierras, podemos citar: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maquinaria deberá estacionarse en los lugares establecidos y debidamente calzada cuando las circunstancias lo hagan necesario.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Han de instalarse señales, balizamientos, etc. para advertencia de los vehículos que circulan.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Deberán efectuarse riegos para evitar la emisión de polvo que pueda dificultar la visibilidad de los trabajos.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 evitará que las diferentes operaciones que se realicen con las máquinas afecten a líneas eléctricas aéreas o subterráneas, o a otras conducciones.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altura del frente de la excavación o arranque será adecuada a las características de la máquina.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Con el fin de evitar colisiones, se definirán y señalizarán los recorridos de la maquinaria por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Antes de poner en servicio la maquinaria se comprobará el estado de los dispositivos de frenado, neumáticos, batería, niveles de aceite.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operador o conductor que maneje la máquina debe ser cualificado y autorizado con la formación y el conocimiento sobre las medidas de seguridad en relación con el trabajo de la misma.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maquinaria de movimiento de tierras no se utilizará como medio para el transporte de personas, salvo que la misma disponga de asientos previstos por el fabricante para tal fin.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se abandonará la maquinaria con el motor en marcha.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No se permitirá la estancia de personas en las proximidades del radio de acción de la maquinaria.</w:t>
      </w:r>
    </w:p>
    <w:p>
      <w:pPr>
        <w:pStyle w:val="style0"/>
        <w:shd w:fill="FFFFFF" w:val="clear"/>
        <w:spacing w:after="28" w:before="28" w:line="300" w:lineRule="atLeast"/>
        <w:jc w:val="both"/>
      </w:pPr>
      <w:bookmarkStart w:id="572" w:name="SE303"/>
      <w:bookmarkEnd w:id="572"/>
      <w:r>
        <w:rPr>
          <w:rFonts w:ascii="Verdana" w:cs="Times New Roman" w:eastAsia="Times New Roman" w:hAnsi="Verdana"/>
          <w:b/>
          <w:bCs/>
          <w:color w:val="0087AD"/>
          <w:sz w:val="21"/>
          <w:lang w:eastAsia="es-ES"/>
        </w:rPr>
        <w:t>SECCIÓN TERCERA.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Otros equipos de trabajo</w:t>
      </w:r>
    </w:p>
    <w:p>
      <w:pPr>
        <w:pStyle w:val="style0"/>
        <w:shd w:fill="FFFFFF" w:val="clear"/>
        <w:spacing w:after="28" w:before="28" w:line="300" w:lineRule="atLeast"/>
        <w:jc w:val="both"/>
      </w:pPr>
      <w:bookmarkStart w:id="573" w:name="LOC_ART.236"/>
      <w:bookmarkStart w:id="574" w:name="SE304"/>
      <w:bookmarkEnd w:id="573"/>
      <w:bookmarkEnd w:id="574"/>
      <w:r>
        <w:rPr>
          <w:rFonts w:ascii="Verdana" w:cs="Times New Roman" w:eastAsia="Times New Roman" w:hAnsi="Verdana"/>
          <w:b/>
          <w:bCs/>
          <w:caps/>
          <w:color w:val="0087AD"/>
          <w:sz w:val="17"/>
          <w:lang w:eastAsia="es-ES"/>
        </w:rPr>
        <w:t>ARTÍCULO 236.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 de los equipos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estos equipos, excepto a las herramientas manuales o sin motor, les es de aplicación el Real Decreto 1644/2008, de 10 de octubre, por el que se establecen las normas para la comercialización y puesta en servicio de las máquinas, y les resulta exigible que dispongan del «marcado CE», declaración «CE» de conformidad y manual de instrucciones.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Aquellos equipos indicados en el párrafo anterior que, por su fecha de comercialización o de puesta en servicio por primera vez, no les sea de aplicación el referido Real Decreto 1644/2008, de 10 de octubre, por el que se establecen las normas para la comercialización y puesta en servicio de las máquinas, deberán estar puestos en conformidad, de acuerdo con lo establecido en el Real Decreto 1215/1997, de 18 de julio.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Por lo que refiere a la utilización de estos equipos, se atenderá a lo dispuesto en el Real Decreto 1215/1997, de 18 de julio.</w:t>
      </w:r>
    </w:p>
    <w:p>
      <w:pPr>
        <w:pStyle w:val="style0"/>
        <w:shd w:fill="FFFFFF" w:val="clear"/>
        <w:spacing w:after="28" w:before="28" w:line="300" w:lineRule="atLeast"/>
        <w:jc w:val="both"/>
      </w:pPr>
      <w:bookmarkStart w:id="575" w:name="LOC_ART.237"/>
      <w:bookmarkStart w:id="576" w:name="SE305"/>
      <w:bookmarkEnd w:id="575"/>
      <w:bookmarkEnd w:id="576"/>
      <w:r>
        <w:rPr>
          <w:rFonts w:ascii="Verdana" w:cs="Times New Roman" w:eastAsia="Times New Roman" w:hAnsi="Verdana"/>
          <w:b/>
          <w:bCs/>
          <w:caps/>
          <w:color w:val="0087AD"/>
          <w:sz w:val="17"/>
          <w:lang w:eastAsia="es-ES"/>
        </w:rPr>
        <w:t>ARTÍCULO 237.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 aplicables a estos equipos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Con independencia de lo indicado en secciones anteriores respecto de equipos de trabajo y maquinaria, el resto de equipos de trabajo deben cumplir, entre otras, las siguientes normas: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Ajustarse a lo dispuesto en su normativa específica.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Los equipos, incluidas las herramientas manuales o sin motor deberán: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Estar bien proyectados y construidos, teniendo en cuenta, en la medida de lo posible, los principios de la ergonomía.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Mantenerse en buen estado de funcionamiento.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Utilizarse exclusivamente para los trabajos que hayan sido diseñados.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Ser manejados por trabajadores que hayan recibido formación e información adecuada.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Las personas encargadas del manejo de los distintos equipos de trabajo deberán poseer la formación adecuada a cada equipo y estar expresamente autorizados para utilizarlos.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recambios, repuestos, etc., de los distintos equipos de trabajo se ajustarán a las características indicadas por el fabricante.</w:t>
      </w:r>
    </w:p>
    <w:p>
      <w:pPr>
        <w:pStyle w:val="style0"/>
        <w:shd w:fill="FFFFFF" w:val="clear"/>
        <w:spacing w:after="28" w:before="28" w:line="300" w:lineRule="atLeast"/>
        <w:jc w:val="both"/>
      </w:pPr>
      <w:bookmarkStart w:id="577" w:name="LOC_CAP.7"/>
      <w:bookmarkStart w:id="578" w:name="SE306"/>
      <w:bookmarkEnd w:id="577"/>
      <w:bookmarkEnd w:id="578"/>
      <w:r>
        <w:rPr>
          <w:rFonts w:ascii="Verdana" w:cs="Times New Roman" w:eastAsia="Times New Roman" w:hAnsi="Verdana"/>
          <w:b/>
          <w:bCs/>
          <w:color w:val="0087AD"/>
          <w:sz w:val="21"/>
          <w:lang w:eastAsia="es-ES"/>
        </w:rPr>
        <w:t>CAPÍTULO VII.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INSTALACIONES DE SUMINISTRO Y REPARTO DE ENERGÍA. ALMACENAMIENTO DE COMBUSTIBLES E INSTALACIONES HIGIÉNICO-SANITARIAS</w:t>
      </w:r>
    </w:p>
    <w:p>
      <w:pPr>
        <w:pStyle w:val="style0"/>
        <w:shd w:fill="FFFFFF" w:val="clear"/>
        <w:spacing w:after="28" w:before="28" w:line="300" w:lineRule="atLeast"/>
        <w:jc w:val="both"/>
      </w:pPr>
      <w:bookmarkStart w:id="579" w:name="LOC_SEC.1"/>
      <w:bookmarkStart w:id="580" w:name="SE307"/>
      <w:bookmarkEnd w:id="579"/>
      <w:bookmarkEnd w:id="580"/>
      <w:r>
        <w:rPr>
          <w:rFonts w:ascii="Verdana" w:cs="Times New Roman" w:eastAsia="Times New Roman" w:hAnsi="Verdana"/>
          <w:b/>
          <w:bCs/>
          <w:color w:val="0087AD"/>
          <w:sz w:val="21"/>
          <w:lang w:eastAsia="es-ES"/>
        </w:rPr>
        <w:t>SECCIÓN PRIMERA.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Instalaciones eléctricas</w:t>
      </w:r>
    </w:p>
    <w:p>
      <w:pPr>
        <w:pStyle w:val="style0"/>
        <w:shd w:fill="FFFFFF" w:val="clear"/>
        <w:spacing w:after="28" w:before="28" w:line="300" w:lineRule="atLeast"/>
        <w:jc w:val="both"/>
      </w:pPr>
      <w:bookmarkStart w:id="581" w:name="LOC_ART.238"/>
      <w:bookmarkStart w:id="582" w:name="SE308"/>
      <w:bookmarkEnd w:id="581"/>
      <w:bookmarkEnd w:id="582"/>
      <w:r>
        <w:rPr>
          <w:rFonts w:ascii="Verdana" w:cs="Times New Roman" w:eastAsia="Times New Roman" w:hAnsi="Verdana"/>
          <w:b/>
          <w:bCs/>
          <w:caps/>
          <w:color w:val="0087AD"/>
          <w:sz w:val="17"/>
          <w:lang w:eastAsia="es-ES"/>
        </w:rPr>
        <w:t>ARTÍCULO 238.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generales de las instalaciones eléctricas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 todo caso, y a salvo de normativa específica las instalaciones eléctricas deberán satisfacer, entre otras, las condiciones que se señalan en los siguientes apartados.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 instalación eléctrica deberá ajustarse a lo dispuesto en su normativa específica. Cabe citar, entre otros: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Real Decreto 614/2001, de 8 de junio, sobre Disposiciones mínimas para la protección de la salud y seguridad de los trabajadores frente al riesgo eléctrico.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Real Decreto 223/2008, de 15 de febrero, por el que se aprueban el Reglamento sobre condiciones técnicas y garantías de seguridad en líneas eléctricas de alta tensión y sus instrucciones técnicas complementarias ITC-LAT 01 a 09.</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Real Decreto 842/2002, de 2 de agosto, y sus instrucciones técnicas complementarias (ITC), por el que se aprueba el Reglamento electrotécnico para baja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Real Decreto 3275/1982, de 12 de noviembre, sobre Condiciones técnicas y garantías de seguridad en centrales eléctricas y centros de transformación.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Las instalaciones deberán proyectarse, realizarse y utilizarse de manera que no entrañen peligro de incendio ni de explosión y de modo que las personas estén debidamente protegidas contra los riesgos de electrocución por contacto directo o indirecto.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El proyecto, la realización y la elección del material y de los dispositivos de protección deberán tener en cuenta el tipo y la potencia de la energía suministrada, las condiciones de los factores externos y la competencia de las personas que tengan acceso a partes de la instalación.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grado de protección de los elementos de la instalación eléctrica que estén a la intemperie será IP 45.</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El grado de protección contra los impactos mecánicos será IK 0,8.</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Respecto a estas instalaciones deberán verificarse y mantenerse con regularidad por personal cualificado y autorizado, según se establece en el Real Decreto 614/2001, de 8 de junio, o por instalador eléctrico autorizado.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Las instalaciones eléctricas existentes antes del comienzo de la obra deberán estar localizadas, verificadas y claramente señalizadas.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Cuando existan líneas de tendido eléctrico aéreas que puedan afectar a la seguridad en la obra será necesario desviarlas fuera del recinto de la misma o dejarlas sin tensión. Si esto no fuera posible, se colocarán barreras o avisos para que los vehículos se mantengan alejados de dichas líneas. En caso de que vehículos de la obra tuvieran que circular bajo el tendido, se utilizará una señalización de advertencia y una protección de delimitación de altura con su correspondiente señalización de gálibo.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No deberán permitirse, en ningún caso, las conexiones a la base de enchufe con los terminales desnudos. A este fin se utilizará la clavija correspondiente.</w:t>
      </w:r>
    </w:p>
    <w:p>
      <w:pPr>
        <w:pStyle w:val="style0"/>
        <w:shd w:fill="FFFFFF" w:val="clear"/>
        <w:spacing w:after="28" w:before="28" w:line="300" w:lineRule="atLeast"/>
        <w:jc w:val="both"/>
      </w:pPr>
      <w:bookmarkStart w:id="583" w:name="LOC_ART.239"/>
      <w:bookmarkStart w:id="584" w:name="SE309"/>
      <w:bookmarkEnd w:id="583"/>
      <w:bookmarkEnd w:id="584"/>
      <w:r>
        <w:rPr>
          <w:rFonts w:ascii="Verdana" w:cs="Times New Roman" w:eastAsia="Times New Roman" w:hAnsi="Verdana"/>
          <w:b/>
          <w:bCs/>
          <w:caps/>
          <w:color w:val="0087AD"/>
          <w:sz w:val="17"/>
          <w:lang w:eastAsia="es-ES"/>
        </w:rPr>
        <w:t>ARTÍCULO 239.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Grupos electrógenos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el caso de utilización de grupos electrógenos, de acuerdo con el Real Decreto 842/2002, de 2 de agosto, se elaborará un proyecto de instalación redactado por un técnico competente, cuando la potencia de los mismos supere los 10 kilovatios.</w:t>
      </w:r>
    </w:p>
    <w:p>
      <w:pPr>
        <w:pStyle w:val="style0"/>
        <w:shd w:fill="FFFFFF" w:val="clear"/>
        <w:spacing w:after="28" w:before="28" w:line="300" w:lineRule="atLeast"/>
        <w:jc w:val="both"/>
      </w:pPr>
      <w:bookmarkStart w:id="585" w:name="LOC_SEC.2"/>
      <w:bookmarkStart w:id="586" w:name="SE310"/>
      <w:bookmarkEnd w:id="585"/>
      <w:bookmarkEnd w:id="586"/>
      <w:r>
        <w:rPr>
          <w:rFonts w:ascii="Verdana" w:cs="Times New Roman" w:eastAsia="Times New Roman" w:hAnsi="Verdana"/>
          <w:b/>
          <w:bCs/>
          <w:color w:val="0087AD"/>
          <w:sz w:val="21"/>
          <w:lang w:eastAsia="es-ES"/>
        </w:rPr>
        <w:t>SECCIÓN SEGUNDA.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Otras instalaciones de suministro y reparto de energía</w:t>
      </w:r>
    </w:p>
    <w:p>
      <w:pPr>
        <w:pStyle w:val="style0"/>
        <w:shd w:fill="FFFFFF" w:val="clear"/>
        <w:spacing w:after="28" w:before="28" w:line="300" w:lineRule="atLeast"/>
        <w:jc w:val="both"/>
      </w:pPr>
      <w:bookmarkStart w:id="587" w:name="LOC_ART.240"/>
      <w:bookmarkStart w:id="588" w:name="SE311"/>
      <w:bookmarkEnd w:id="587"/>
      <w:bookmarkEnd w:id="588"/>
      <w:r>
        <w:rPr>
          <w:rFonts w:ascii="Verdana" w:cs="Times New Roman" w:eastAsia="Times New Roman" w:hAnsi="Verdana"/>
          <w:b/>
          <w:bCs/>
          <w:caps/>
          <w:color w:val="0087AD"/>
          <w:sz w:val="17"/>
          <w:lang w:eastAsia="es-ES"/>
        </w:rPr>
        <w:t>ARTÍCULO 240.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Aparatos a presión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instalaciones y los aparatos a presión, así como el resto de instalaciones deberán ajustarse a lo dispuesto en su normativa específica.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operaciones de reparación y mantenimiento de estas instalaciones se llevarán a cabo por entidades instaladoras autorizadas.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recambios, repuestos, y otras piezas de estas instalaciones se ajustarán a las características indicadas por el fabricante.</w:t>
      </w:r>
    </w:p>
    <w:p>
      <w:pPr>
        <w:pStyle w:val="style0"/>
        <w:shd w:fill="FFFFFF" w:val="clear"/>
        <w:spacing w:after="28" w:before="28" w:line="300" w:lineRule="atLeast"/>
        <w:jc w:val="both"/>
      </w:pPr>
      <w:bookmarkStart w:id="589" w:name="LOC_ART.241"/>
      <w:bookmarkStart w:id="590" w:name="SE312"/>
      <w:bookmarkEnd w:id="589"/>
      <w:bookmarkEnd w:id="590"/>
      <w:r>
        <w:rPr>
          <w:rFonts w:ascii="Verdana" w:cs="Times New Roman" w:eastAsia="Times New Roman" w:hAnsi="Verdana"/>
          <w:b/>
          <w:bCs/>
          <w:caps/>
          <w:color w:val="0087AD"/>
          <w:sz w:val="17"/>
          <w:lang w:eastAsia="es-ES"/>
        </w:rPr>
        <w:t>ARTÍCULO 241.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Almacenamiento de combustible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El almacenamiento y, en su caso, la distribución de combustible deberá ajustarse a lo dispuesto en su normativa específica.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Las operaciones de reparación y mantenimiento de estas instalaciones se llevarán a cabo por entidades instaladoras autorizadas.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recambios, repuestos, y otras piezas de estas instalaciones se ajustarán a las características indicadas por el fabricante.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Las zonas de almacenamiento de combustible deberán estar debidamente señalizadas y dotadas de los medios de extinción de incendios adecuados y deberán estar convenientemente alejadas de otras instalaciones, especialmente de las higiénico-sanitarias y de bienestar.</w:t>
      </w:r>
    </w:p>
    <w:p>
      <w:pPr>
        <w:pStyle w:val="style0"/>
        <w:shd w:fill="FFFFFF" w:val="clear"/>
        <w:spacing w:after="28" w:before="28" w:line="300" w:lineRule="atLeast"/>
        <w:jc w:val="both"/>
      </w:pPr>
      <w:bookmarkStart w:id="591" w:name="LOC_SEC.3"/>
      <w:bookmarkStart w:id="592" w:name="SE313"/>
      <w:bookmarkEnd w:id="591"/>
      <w:bookmarkEnd w:id="592"/>
      <w:r>
        <w:rPr>
          <w:rFonts w:ascii="Verdana" w:cs="Times New Roman" w:eastAsia="Times New Roman" w:hAnsi="Verdana"/>
          <w:b/>
          <w:bCs/>
          <w:color w:val="0087AD"/>
          <w:sz w:val="21"/>
          <w:lang w:eastAsia="es-ES"/>
        </w:rPr>
        <w:t>SECCIÓN TERCERA.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de las instalaciones higiénico-sanitarias en las obras</w:t>
      </w:r>
    </w:p>
    <w:p>
      <w:pPr>
        <w:pStyle w:val="style0"/>
        <w:shd w:fill="FFFFFF" w:val="clear"/>
        <w:spacing w:after="28" w:before="28" w:line="300" w:lineRule="atLeast"/>
        <w:jc w:val="both"/>
      </w:pPr>
      <w:bookmarkStart w:id="593" w:name="LOC_ART.242"/>
      <w:bookmarkStart w:id="594" w:name="SE314"/>
      <w:bookmarkEnd w:id="593"/>
      <w:bookmarkEnd w:id="594"/>
      <w:r>
        <w:rPr>
          <w:rFonts w:ascii="Verdana" w:cs="Times New Roman" w:eastAsia="Times New Roman" w:hAnsi="Verdana"/>
          <w:b/>
          <w:bCs/>
          <w:caps/>
          <w:color w:val="0087AD"/>
          <w:sz w:val="17"/>
          <w:lang w:eastAsia="es-ES"/>
        </w:rPr>
        <w:t>ARTÍCULO 242.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Condiciones generales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Las obras de construcción estarán dotadas de servicios sanitarios y comunes, en función del número de trabajadores que vayan a utilizarlos. Dichas instalaciones se irán adaptando progresivamente a medida que se incorporen los trabajadores, incluidos los de las empresas subcontratistas y trabajadores autónomos, guardando siempre relación con el número de trabajadores que desempeñen simultáneamente tareas en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 aquellas obras que dispongan de estudio o estudio básico de seguridad y salud, de acuerdo con lo establecido en Real Decreto 1627/1997, estas instalaciones se definirán en el plan de seguridad y salud de cada contratista en función de lo previsto en el correspondiente estudio.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No podrán iniciarse las obras sin haber solucionado previamente, mediante instalaciones fijas, provisionales o módulos prefabricados, las referidas condiciones.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aquellas obras condicionadas por la necesidad de una intervención rápida y urgente, previstas y no previstas, o de escasa importancia tecnológica y económica que requieren poco tiempo para su ejecución, tales como, entre otras: roturas de conducciones, acometidas de servicios, socavones o hundimientos viales, bacheo o reparaciones en vías públicas, demoliciones, apeos o refuerzos urgentes de estructuras, reparaciones en cubiertas, etc., se podrán adoptar soluciones alternativas para este tipo de instalaciones.</w:t>
      </w:r>
    </w:p>
    <w:p>
      <w:pPr>
        <w:pStyle w:val="style0"/>
        <w:shd w:fill="FFFFFF" w:val="clear"/>
        <w:spacing w:after="28" w:before="28" w:line="300" w:lineRule="atLeast"/>
        <w:jc w:val="both"/>
      </w:pPr>
      <w:bookmarkStart w:id="595" w:name="LOC_ART.243"/>
      <w:bookmarkStart w:id="596" w:name="SE315"/>
      <w:bookmarkEnd w:id="595"/>
      <w:bookmarkEnd w:id="596"/>
      <w:r>
        <w:rPr>
          <w:rFonts w:ascii="Verdana" w:cs="Times New Roman" w:eastAsia="Times New Roman" w:hAnsi="Verdana"/>
          <w:b/>
          <w:bCs/>
          <w:caps/>
          <w:color w:val="0087AD"/>
          <w:sz w:val="17"/>
          <w:lang w:eastAsia="es-ES"/>
        </w:rPr>
        <w:t>ARTÍCULO 243.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Servicios higiénicos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Cuando los trabajadores tengan que llevar ropa especial de trabajo, o se realicen trabajos sucios deberán tener a su disposición vestuarios adecuados.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Los vestuarios deberán ser de fácil acceso, tener las dimensiones suficientes y disponer de asientos e instalaciones que permitan a cada trabajador poner a secar, si fuera necesario, su ropa de trabajo. Los vestuarios estarán dotados de un sistema de calefacción en invierno.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Cuando las circunstancias lo exijan, por presencia de sustancias peligrosas, humedad, suciedad, la ropa de trabajo deberá poder guardarse separada de la ropa de calle y de los efectos personales.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todo caso, cada trabajador deberá poder disponer de un espacio para colocar su ropa y sus objetos personales bajo llave.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Cuando el tipo de actividad o la salubridad lo requieran, se deberán poner a disposición de los trabajadores duchas apropiadas y en número suficiente, a razón de una por cada 10 trabajadores o fracción que desarrollen actividades simultáneamente en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duchas deberán tener dimensiones suficientes para permitir que cualquier trabajador se asee sin obstáculos y en adecuadas condiciones de higiene. Las duchas deberán disponer de agua corriente, caliente y fría.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Así mismo se instalarán lavabos, uno por cada 10 trabajadores o fracción que desarrollen actividades simultáneamente en la obra, con agua corriente, caliente, si fuese necesario.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Igualmente se instalarán retretes, uno por cada 25 trabajadores o fracción que desarrollen actividades simultáneamente en la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Si las duchas o los lavabos y los vestuarios estuvieren separados, la comunicación entre unos y otros deberá ser fácil.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Los vestuarios, duchas, lavabos y retretes estarán separados para hombres y mujeres, o deberá preverse una utilización por separado de los mismos.</w:t>
      </w:r>
    </w:p>
    <w:p>
      <w:pPr>
        <w:pStyle w:val="style0"/>
        <w:shd w:fill="FFFFFF" w:val="clear"/>
        <w:spacing w:after="28" w:before="28" w:line="300" w:lineRule="atLeast"/>
        <w:jc w:val="both"/>
      </w:pPr>
      <w:bookmarkStart w:id="597" w:name="LOC_ART.244"/>
      <w:bookmarkStart w:id="598" w:name="SE316"/>
      <w:bookmarkEnd w:id="597"/>
      <w:bookmarkEnd w:id="598"/>
      <w:r>
        <w:rPr>
          <w:rFonts w:ascii="Verdana" w:cs="Times New Roman" w:eastAsia="Times New Roman" w:hAnsi="Verdana"/>
          <w:b/>
          <w:bCs/>
          <w:caps/>
          <w:color w:val="0087AD"/>
          <w:sz w:val="17"/>
          <w:lang w:eastAsia="es-ES"/>
        </w:rPr>
        <w:t>ARTÍCULO 244.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Locales de descanso o de alojamiento en las obras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Cuando lo exijan la seguridad o la salud de los trabajadores, en particular debido al tipo de actividad o al número de trabajadores, y por motivos de alejamiento de la obra, aquéllos deberán poder disponer de locales de descanso y, en su caso, de locales de alojamiento de fácil acceso.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Los locales de descanso o de alojamiento deberán tener unas dimensiones suficientes y estar amueblados con un número de mesas y de asientos con respaldo acorde con el número de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no existan este tipo de locales se deberá poner a disposición del personal otro tipo de instalaciones para que puedan ser utilizadas durante la interrupción del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Cuando existan locales de alojamiento fijos, deberán disponer de servicios higiénicos en número suficiente, así como de una sala para comer y otra de esparcimiento. Dichos locales deberán estar equipados de camas, armarios, mesas y sillas con respaldo acordes al número de trabajadores, y se deberá tener en cuenta, en su caso y para su asignación, la presencia de trabajadores de ambos sexos.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En las obras los trabajadores deberán disponer de instalaciones para comer y, en su caso, preparar la comida en condiciones de seguridad y salud. Estas instalaciones se adecuarán al número de trabajadores que vayan a utilizarlas. Las mismas dispondrán de hornos calienta comida, ventilación suficiente, calefacción, y condiciones adecuadas de higiene y limpieza.</w:t>
      </w:r>
    </w:p>
    <w:p>
      <w:pPr>
        <w:pStyle w:val="style0"/>
        <w:shd w:fill="FFFFFF" w:val="clear"/>
        <w:spacing w:after="28" w:before="28" w:line="300" w:lineRule="atLeast"/>
        <w:jc w:val="both"/>
      </w:pPr>
      <w:bookmarkStart w:id="599" w:name="LOC_ART.245"/>
      <w:bookmarkStart w:id="600" w:name="SE317"/>
      <w:bookmarkEnd w:id="599"/>
      <w:bookmarkEnd w:id="600"/>
      <w:r>
        <w:rPr>
          <w:rFonts w:ascii="Verdana" w:cs="Times New Roman" w:eastAsia="Times New Roman" w:hAnsi="Verdana"/>
          <w:b/>
          <w:bCs/>
          <w:caps/>
          <w:color w:val="0087AD"/>
          <w:sz w:val="17"/>
          <w:lang w:eastAsia="es-ES"/>
        </w:rPr>
        <w:t>ARTÍCULO 245.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Primeros auxilios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Será responsabilidad del empresario garantizar que los primeros auxilios puedan prestarse en todo momento por personal con la suficiente formación para ello. Asimismo, deberán adoptarse medidas para garantizar la evacuación, a fin de que puedan recibir cuidados médicos los trabajadores accidentados o afectados por una indisposición repentina.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empresario establecerá en sus medidas de emergencia los procedimientos relativos a la organización de los primeros auxilios, evacuación y traslado de accidentados. Dichas medidas deben ser conocidas por todas las personas cuya participación se prevea para el desarrollo de las mismas.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Cuando el número de los trabajadores en una obra supere los 50 se dispondrá de locales destinados a primeros auxilios y otras posibles atenciones sanitarias.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el caso de ser necesarios locales para primeros auxilios, éstos deberán disponer, como mínimo, de: un botiquín, una camilla, agua potable y de otros materiales en función de la existencia de riesgos específicos.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Las obras de extensión lineal estarán dotadas de botiquines, al menos portátiles, en los lugares de trabajo más significativos o de elevada concentración de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En todas las obras existirá personal con conocimientos en primeros auxilios.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Además en todos los centros de trabajo cuyo número de trabajadores sea superior a 250 deberá figurar al frente del botiquín de obras un ayudante técnico sanitario.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Igualmente se dispondrá, en un lugar visible, información en la que se haga constar el centro sanitario más próximo a la obra así como el recorrido más recomendable para acceder al mismo, y cuantos teléfonos sean necesarios en caso de urgencia. En las obras de carácter lineal esta información estará disponible igualmente en los lugares de trabajo más significativos.</w:t>
      </w:r>
    </w:p>
    <w:p>
      <w:pPr>
        <w:pStyle w:val="style0"/>
        <w:shd w:fill="FFFFFF" w:val="clear"/>
        <w:spacing w:after="28" w:before="28" w:line="300" w:lineRule="atLeast"/>
        <w:jc w:val="both"/>
      </w:pPr>
      <w:bookmarkStart w:id="601" w:name="LOC_ART.246"/>
      <w:bookmarkStart w:id="602" w:name="SE318"/>
      <w:bookmarkEnd w:id="601"/>
      <w:bookmarkEnd w:id="602"/>
      <w:r>
        <w:rPr>
          <w:rFonts w:ascii="Verdana" w:cs="Times New Roman" w:eastAsia="Times New Roman" w:hAnsi="Verdana"/>
          <w:b/>
          <w:bCs/>
          <w:caps/>
          <w:color w:val="0087AD"/>
          <w:sz w:val="17"/>
          <w:lang w:eastAsia="es-ES"/>
        </w:rPr>
        <w:t>ARTÍCULO 246.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Suministro de agua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la obra, los trabajadores deberán disponer de agua potable en cantidad suficiente, tanto en los locales que ocupen como cerca de los puestos de trabajo.</w:t>
      </w:r>
    </w:p>
    <w:p>
      <w:pPr>
        <w:pStyle w:val="style0"/>
        <w:shd w:fill="FFFFFF" w:val="clear"/>
        <w:spacing w:after="28" w:before="28" w:line="300" w:lineRule="atLeast"/>
        <w:jc w:val="both"/>
      </w:pPr>
      <w:bookmarkStart w:id="603" w:name="LOC_ART.247"/>
      <w:bookmarkStart w:id="604" w:name="SE319"/>
      <w:bookmarkEnd w:id="603"/>
      <w:bookmarkEnd w:id="604"/>
      <w:r>
        <w:rPr>
          <w:rFonts w:ascii="Verdana" w:cs="Times New Roman" w:eastAsia="Times New Roman" w:hAnsi="Verdana"/>
          <w:b/>
          <w:bCs/>
          <w:caps/>
          <w:color w:val="0087AD"/>
          <w:sz w:val="17"/>
          <w:lang w:eastAsia="es-ES"/>
        </w:rPr>
        <w:t>ARTÍCULO 247.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Visitas a las obras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previsión de las visitas que realicen a las obras personas ajenas a las mismas o que no prestan servicios con carácter habitual en ellas (personal técnico o dirección facultativa, inspectores y visitantes de organismos oficiales, etc.) deberá disponerse de una dotación de equipos de los protección individual necesarios en cada caso, que estarán obligados a utilizar mientras permanezcan en la obra.</w:t>
      </w:r>
    </w:p>
    <w:p>
      <w:pPr>
        <w:pStyle w:val="style0"/>
        <w:shd w:fill="FFFFFF" w:val="clear"/>
        <w:spacing w:after="28" w:before="28" w:line="300" w:lineRule="atLeast"/>
        <w:jc w:val="both"/>
      </w:pPr>
      <w:bookmarkStart w:id="605" w:name="LOC_ART.248"/>
      <w:bookmarkStart w:id="606" w:name="SE320"/>
      <w:bookmarkEnd w:id="605"/>
      <w:bookmarkEnd w:id="606"/>
      <w:r>
        <w:rPr>
          <w:rFonts w:ascii="Verdana" w:cs="Times New Roman" w:eastAsia="Times New Roman" w:hAnsi="Verdana"/>
          <w:b/>
          <w:bCs/>
          <w:caps/>
          <w:color w:val="0087AD"/>
          <w:sz w:val="17"/>
          <w:lang w:eastAsia="es-ES"/>
        </w:rPr>
        <w:t>ARTÍCULO 248.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varias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Los accesos y el perímetro de la obra deberán señalizarse y destacarse de manera que sean claramente visibles e identificables y que impidan el paso a terceros.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El servicio de agua se organizará mediante grifos de agua corriente, máquinas expendedoras gratuitas, fuentes o surtidores de agua o en recipientes limpios en calidad suficiente y en perfectas condiciones de higiene.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En los trabajos que se hagan en descampado, las empresas construirán barracones y cobertizos para la protección del personal en caso de lluvia. Asimismo se dispondrá de toldos que resguarden al personal de las inclemencias del tiempo.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En los trabajos especialmente sucios, por ejemplo, de alquitranado de carreteras, mecánicos, etc., que por la suciedad de los mismos haga que se produzca un mayor deterioro de las prendas de trabajo, se repondrán éstas, con independencia de la fecha de entrega y de la duración media prevista en los respectivos convenios.</w:t>
      </w:r>
    </w:p>
    <w:p>
      <w:pPr>
        <w:pStyle w:val="style0"/>
        <w:shd w:fill="FFFFFF" w:val="clear"/>
        <w:spacing w:after="28" w:before="28" w:line="300" w:lineRule="atLeast"/>
        <w:jc w:val="both"/>
      </w:pPr>
      <w:bookmarkStart w:id="607" w:name="LOC_TIT.5"/>
      <w:bookmarkStart w:id="608" w:name="SE321"/>
      <w:bookmarkEnd w:id="607"/>
      <w:bookmarkEnd w:id="608"/>
      <w:r>
        <w:rPr>
          <w:rFonts w:ascii="Verdana" w:cs="Times New Roman" w:eastAsia="Times New Roman" w:hAnsi="Verdana"/>
          <w:b/>
          <w:bCs/>
          <w:color w:val="0087AD"/>
          <w:sz w:val="21"/>
          <w:lang w:eastAsia="es-ES"/>
        </w:rPr>
        <w:t>TÍTULO 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MÍNIMAS DE SEGURIDAD Y SALUD APLICABLES EN LAS CANTERAS, ARENERAS, GRAVERAS Y LA EXPLOTACIÓN DE TIERRAS INDUSTRIALES</w:t>
      </w:r>
    </w:p>
    <w:p>
      <w:pPr>
        <w:pStyle w:val="style0"/>
        <w:shd w:fill="FFFFFF" w:val="clear"/>
        <w:spacing w:after="28" w:before="28" w:line="300" w:lineRule="atLeast"/>
        <w:jc w:val="both"/>
      </w:pPr>
      <w:bookmarkStart w:id="609" w:name="LOC_ART.249"/>
      <w:bookmarkStart w:id="610" w:name="SE322"/>
      <w:bookmarkEnd w:id="609"/>
      <w:bookmarkEnd w:id="610"/>
      <w:r>
        <w:rPr>
          <w:rFonts w:ascii="Verdana" w:cs="Times New Roman" w:eastAsia="Times New Roman" w:hAnsi="Verdana"/>
          <w:b/>
          <w:bCs/>
          <w:caps/>
          <w:color w:val="0087AD"/>
          <w:sz w:val="17"/>
          <w:lang w:eastAsia="es-ES"/>
        </w:rPr>
        <w:t>ARTÍCULO 249.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Disposiciones mínimas de seguridad y salud aplicables en las canteras, areneras, graveras y la explotación de tierras industriales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Además de aplicar todos aquellos aspectos que en el Título IV de este Libro II del Convenio se pudieran emplear en las canteras, areneras, graveras y explotaciones de tierras industriales, se estará a lo dispuesto en el Real Decreto 1389/1997, así como la normativa específica que lo desarrolla.</w:t>
      </w:r>
    </w:p>
    <w:p>
      <w:pPr>
        <w:pStyle w:val="style0"/>
        <w:shd w:fill="FFFFFF" w:val="clear"/>
        <w:spacing w:after="28" w:before="28" w:line="300" w:lineRule="atLeast"/>
        <w:jc w:val="both"/>
      </w:pPr>
      <w:bookmarkStart w:id="611" w:name="LOC_TIT.6"/>
      <w:bookmarkStart w:id="612" w:name="SE323"/>
      <w:bookmarkEnd w:id="611"/>
      <w:bookmarkEnd w:id="612"/>
      <w:r>
        <w:rPr>
          <w:rFonts w:ascii="Verdana" w:cs="Times New Roman" w:eastAsia="Times New Roman" w:hAnsi="Verdana"/>
          <w:b/>
          <w:bCs/>
          <w:color w:val="0087AD"/>
          <w:sz w:val="21"/>
          <w:lang w:eastAsia="es-ES"/>
        </w:rPr>
        <w:t>TÍTULO VI.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VIGILANCIA DE LA SALUD</w:t>
      </w:r>
    </w:p>
    <w:p>
      <w:pPr>
        <w:pStyle w:val="style0"/>
        <w:shd w:fill="FFFFFF" w:val="clear"/>
        <w:spacing w:after="28" w:before="28" w:line="300" w:lineRule="atLeast"/>
        <w:jc w:val="both"/>
      </w:pPr>
      <w:bookmarkStart w:id="613" w:name="LOC_ART.250"/>
      <w:bookmarkStart w:id="614" w:name="SE324"/>
      <w:bookmarkEnd w:id="613"/>
      <w:bookmarkEnd w:id="614"/>
      <w:r>
        <w:rPr>
          <w:rFonts w:ascii="Verdana" w:cs="Times New Roman" w:eastAsia="Times New Roman" w:hAnsi="Verdana"/>
          <w:b/>
          <w:bCs/>
          <w:caps/>
          <w:color w:val="0087AD"/>
          <w:sz w:val="17"/>
          <w:lang w:eastAsia="es-ES"/>
        </w:rPr>
        <w:t>ARTÍCULO 250.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Vigilancia de la salud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los reconocimientos médicos que se realicen a los trabajadores sujetos a este Convenio colectivo serán de obligado cumplimiento los protocolos médicos editados por el Ministerio de Sanidad, Servicios Sociales e Igualdad de acuerdo a los riesgos específicos de cada puesto de trabajo.</w:t>
      </w:r>
    </w:p>
    <w:p>
      <w:pPr>
        <w:pStyle w:val="style0"/>
        <w:shd w:fill="FFFFFF" w:val="clear"/>
        <w:spacing w:after="28" w:before="28" w:line="300" w:lineRule="atLeast"/>
        <w:jc w:val="both"/>
      </w:pPr>
      <w:bookmarkStart w:id="615" w:name="LOC_TDT"/>
      <w:bookmarkStart w:id="616" w:name="SE325"/>
      <w:bookmarkEnd w:id="615"/>
      <w:bookmarkEnd w:id="616"/>
      <w:r>
        <w:rPr>
          <w:rFonts w:ascii="Verdana" w:cs="Times New Roman" w:eastAsia="Times New Roman" w:hAnsi="Verdana"/>
          <w:b/>
          <w:bCs/>
          <w:color w:val="0087AD"/>
          <w:sz w:val="21"/>
          <w:lang w:eastAsia="es-ES"/>
        </w:rPr>
        <w:t>DISPOSICIONES TRANSITORIAS </w:t>
      </w:r>
    </w:p>
    <w:p>
      <w:pPr>
        <w:pStyle w:val="style0"/>
        <w:shd w:fill="FFFFFF" w:val="clear"/>
        <w:spacing w:after="28" w:before="28" w:line="300" w:lineRule="atLeast"/>
        <w:jc w:val="both"/>
      </w:pPr>
      <w:bookmarkStart w:id="617" w:name="LOC_DTR.1"/>
      <w:bookmarkStart w:id="618" w:name="SE326"/>
      <w:bookmarkEnd w:id="617"/>
      <w:bookmarkEnd w:id="618"/>
      <w:r>
        <w:rPr>
          <w:rFonts w:ascii="Verdana" w:cs="Times New Roman" w:eastAsia="Times New Roman" w:hAnsi="Verdana"/>
          <w:b/>
          <w:bCs/>
          <w:color w:val="0087AD"/>
          <w:sz w:val="21"/>
          <w:lang w:eastAsia="es-ES"/>
        </w:rPr>
        <w:t>Disposición Transitoria Primera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tanto no se produzca la incorporación al presente Convenio de la clasificación profesional prevista en el art. 28, se aplicará la siguiente tabla de niveles, conforme a los contenidos de los precedentes Convenios Generales del Sector: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I: Personal Directivo.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II: Personal Titulado Superior.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III: Personal Titulado Medio, Jefe Administrativo 1ª, Jefe Sec. Org. 1ª</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IV: Jefe de Personal, Ayudante de Obra, Encargado General de Fábrica, Encargado General.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V: Jefe Administrativo de 2ª, Delineante Superior, Encargado General de Obra, Jefe de Sección de Organización Científica del Trabajo de 2ª, Jefe de Compras.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VI: Oficial Administrativo de 1ª, Delineante de 1ª, Jefe o Encargado de Taller, Encargado de Sección de Laboratorio, Escultor de Piedra y Mármol, Práctico de Topografía de 1ª, Técnico de Organización de 1ª</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VII: Delineante de 2ª, Técnico de Organización de 2ª, Práctico Topografía de 2ª, Analista de 1ª, Viajante, Capataz, Especialista de Oficio.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VIII: Oficial Administrativo de 2ª, Corredor de Plaza, Oficial 1ª de Oficio, Inspector de Control Señalización y Servicios, Analista de 2ª</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IX: Auxiliar Administrativo, Ayudante Topográfico, Auxiliar de Organización, Vendedores, Conserje, Oficial 2ª de Oficio.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X: Auxiliar de Laboratorio, Vigilante, Almacenero, Enfermero, Cobrador, Guarda-Jurado, Ayudantes de Oficio, Especialistas de 1ª</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XI: Especialistas de 2ª, Peón Especializado.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XII: Peón Ordinario, Limpiador/a.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XIII: Botones y Pinches de dieciséis a dieciocho años.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Nivel XIV: Trabajadores en formación.</w:t>
      </w:r>
    </w:p>
    <w:p>
      <w:pPr>
        <w:pStyle w:val="style0"/>
        <w:shd w:fill="FFFFFF" w:val="clear"/>
        <w:spacing w:after="28" w:before="28" w:line="300" w:lineRule="atLeast"/>
        <w:jc w:val="both"/>
      </w:pPr>
      <w:bookmarkStart w:id="619" w:name="LOC_DTR.2"/>
      <w:bookmarkStart w:id="620" w:name="SE327"/>
      <w:bookmarkEnd w:id="619"/>
      <w:bookmarkEnd w:id="620"/>
      <w:r>
        <w:rPr>
          <w:rFonts w:ascii="Verdana" w:cs="Times New Roman" w:eastAsia="Times New Roman" w:hAnsi="Verdana"/>
          <w:b/>
          <w:bCs/>
          <w:color w:val="0087AD"/>
          <w:sz w:val="21"/>
          <w:lang w:eastAsia="es-ES"/>
        </w:rPr>
        <w:t>Disposición Transitoria Segunda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Las disposiciones del presente Convenio que recogen los diferentes incrementos económicos y cláusulas relativas a los mismos derivan de lo dispuesto en el acta de la reunión 1/2010 de la Comisión Negociadora del IV Convenio General del Sector de la Construcción, teniendo en cuenta las especiales dificultades por las que atraviesa el sector y la crisis económica existente en España.</w:t>
      </w:r>
    </w:p>
    <w:p>
      <w:pPr>
        <w:pStyle w:val="style0"/>
        <w:shd w:fill="FFFFFF" w:val="clear"/>
        <w:spacing w:after="28" w:before="28" w:line="300" w:lineRule="atLeast"/>
        <w:jc w:val="both"/>
      </w:pPr>
      <w:bookmarkStart w:id="621" w:name="LOC_TDA"/>
      <w:bookmarkStart w:id="622" w:name="SE328"/>
      <w:bookmarkEnd w:id="621"/>
      <w:bookmarkEnd w:id="622"/>
      <w:r>
        <w:rPr>
          <w:rFonts w:ascii="Verdana" w:cs="Times New Roman" w:eastAsia="Times New Roman" w:hAnsi="Verdana"/>
          <w:b/>
          <w:bCs/>
          <w:color w:val="0087AD"/>
          <w:sz w:val="21"/>
          <w:lang w:eastAsia="es-ES"/>
        </w:rPr>
        <w:t>DISPOSICIONES ADICIONALES </w:t>
      </w:r>
    </w:p>
    <w:p>
      <w:pPr>
        <w:pStyle w:val="style0"/>
        <w:shd w:fill="FFFFFF" w:val="clear"/>
        <w:spacing w:after="28" w:before="28" w:line="300" w:lineRule="atLeast"/>
        <w:jc w:val="both"/>
      </w:pPr>
      <w:bookmarkStart w:id="623" w:name="LOC_DAD.1"/>
      <w:bookmarkStart w:id="624" w:name="SE329"/>
      <w:bookmarkEnd w:id="623"/>
      <w:bookmarkEnd w:id="624"/>
      <w:r>
        <w:rPr>
          <w:rFonts w:ascii="Verdana" w:cs="Times New Roman" w:eastAsia="Times New Roman" w:hAnsi="Verdana"/>
          <w:b/>
          <w:bCs/>
          <w:color w:val="0087AD"/>
          <w:sz w:val="21"/>
          <w:lang w:eastAsia="es-ES"/>
        </w:rPr>
        <w:t>Disposición Adicional Primera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acuerdo con lo establecido en el art. 10 apartado b) del Real Decreto 1698/2011, de 18 de noviembre, por el que se regula el régimen jurídico y el procedimiento general para establecer coeficientes reductores y anticipar la edad de jubilación en el sistema de la Seguridad Social, las organizaciones firmantes del presente Convenio General, sensibles con la situación en la que se desarrollan los trabajos en las obras del sector de la construcción, consideran conveniente instar a la administración competente el establecimiento de coeficientes reductores, o en su caso, la anticipación de la edad de acceso a la jubilación de los trabajadores afectados.</w:t>
      </w:r>
    </w:p>
    <w:p>
      <w:pPr>
        <w:pStyle w:val="style0"/>
        <w:shd w:fill="FFFFFF" w:val="clear"/>
        <w:spacing w:after="28" w:before="28" w:line="300" w:lineRule="atLeast"/>
        <w:jc w:val="both"/>
      </w:pPr>
      <w:bookmarkStart w:id="625" w:name="LOC_DAD.2"/>
      <w:bookmarkStart w:id="626" w:name="SE330"/>
      <w:bookmarkEnd w:id="625"/>
      <w:bookmarkEnd w:id="626"/>
      <w:r>
        <w:rPr>
          <w:rFonts w:ascii="Verdana" w:cs="Times New Roman" w:eastAsia="Times New Roman" w:hAnsi="Verdana"/>
          <w:b/>
          <w:bCs/>
          <w:color w:val="0087AD"/>
          <w:sz w:val="21"/>
          <w:lang w:eastAsia="es-ES"/>
        </w:rPr>
        <w:t>Disposición Adicional Segunda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Comisión Paritaria Sectorial de Seguridad y Salud en el Trabajo actualizará el Libro II del presente Convenio, dando cuenta a la Comisión Paritaria del Sector para el estudio de su posible incorporación al texto del mismo.</w:t>
      </w:r>
    </w:p>
    <w:p>
      <w:pPr>
        <w:pStyle w:val="style0"/>
        <w:shd w:fill="FFFFFF" w:val="clear"/>
        <w:spacing w:after="28" w:before="28" w:line="300" w:lineRule="atLeast"/>
        <w:jc w:val="both"/>
      </w:pPr>
      <w:bookmarkStart w:id="627" w:name="LOC_DAD.3"/>
      <w:bookmarkStart w:id="628" w:name="SE331"/>
      <w:bookmarkEnd w:id="627"/>
      <w:bookmarkEnd w:id="628"/>
      <w:r>
        <w:rPr>
          <w:rFonts w:ascii="Verdana" w:cs="Times New Roman" w:eastAsia="Times New Roman" w:hAnsi="Verdana"/>
          <w:b/>
          <w:bCs/>
          <w:color w:val="0087AD"/>
          <w:sz w:val="21"/>
          <w:lang w:eastAsia="es-ES"/>
        </w:rPr>
        <w:t>Disposición Adicional Tercera.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Ámbito temporal: Excepciones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No obstante lo dispuesto en el art. 7, quedan excepcionados del ámbito temporal contenido en el mismo los artículos relativos a «incrementos económicos» (art. 52), «cláusula de garantía salarial» (art. 53) y lo dispuesto en el art. 50.3 referente a la fórmula de actualización de la remuneración mínima bruta anual, cuyas vigencias en todo caso se extenderán hasta el 31 de diciembre del año 2012, quedando a partir de ese momento sin efectos hasta la negociación y aprobación de un nuevo convenio.</w:t>
      </w:r>
    </w:p>
    <w:p>
      <w:pPr>
        <w:pStyle w:val="style0"/>
        <w:shd w:fill="FFFFFF" w:val="clear"/>
        <w:spacing w:after="28" w:before="28" w:line="300" w:lineRule="atLeast"/>
        <w:jc w:val="both"/>
      </w:pPr>
      <w:bookmarkStart w:id="629" w:name="LOC_ANX.1"/>
      <w:bookmarkStart w:id="630" w:name="SE332"/>
      <w:bookmarkEnd w:id="629"/>
      <w:bookmarkEnd w:id="630"/>
      <w:r>
        <w:rPr>
          <w:rFonts w:ascii="Verdana" w:cs="Times New Roman" w:eastAsia="Times New Roman" w:hAnsi="Verdana"/>
          <w:b/>
          <w:bCs/>
          <w:color w:val="0087AD"/>
          <w:sz w:val="21"/>
          <w:lang w:eastAsia="es-ES"/>
        </w:rPr>
        <w:t>ANEXO 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Campo de aplicación de este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El presente Convenio colectivo será de aplicación y obligado cumplimiento en las siguientes actividades: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Las dedicadas a la Construcción y Obras Públicas, comprendiendo: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Albañilería.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Hormigón.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Pintura para decoración y empapelado.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Carpintería de armar.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Embaldosado y solado.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Empedrado y adoquinado.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Escultura, decoración y escayola.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Estucado y revocado.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Piedra y mármol, incluyéndose las fábricas y talleres de sierra y labra, tanto mecánica como manual.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Portlandistas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Pocería.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Canteras, graveras, areneras y la explotación y manufactura de tierras industriales, bien explotadas a cielo abierto, galerías o minas y vetas explotadas para uso propio por las empresas dedicadas principalmente a la construcción y obras públicas en general, aunque la producción no se absorba totalmente por las mismas.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Canteras, graveras y areneras, cuya materia se destine a construcción y obras públicas y no sean explotadas directamente por empresas constructoras.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trabajos que se realicen en los puertos, en tierra firme, muelles y espigones.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Fabricación de elementos auxiliares y materiales de la construcción para su exclusiva o preferente utilización y consumo, absorbiéndose en las propias obras toda o la mayor parte de dicha producción.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Regeneración de playas.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Movimiento de tierras.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Carpintería utilizada por las empresas de la construcción, bien sea en las obras o en sus talleres; sin embargo, no será de aplicación este Convenio a aquellos talleres de carpintería que aún trabajando con elementos para la construcción no pertenezcan a empresas de este ramo.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Colocación de artículos de piedra artificial, pulimentada o sin pulimentar, así como su fabricación a pie de obra para la utilización exclusiva de la misma.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Colocación de aislantes en obras, como actividad principal.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Abastecimiento y saneamiento de aguas, colocación de tuberías y elementos accesorios de las mismas; apertura y cierre de zanjas y sus reparaciones, incluyendo las que se realizan para cualquier clase de instalaciones de suministros, tales como gas, teléfono, electricidad, etc., cuando sea empleado, principalmente, personal de construcción y obras públicas.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confección de cañizos y cielos rasos.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empresas inmobiliarias, incluidas las cooperativas de viviendas.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empresas dedicadas al estudio, planeamiento y construcción de obras públicas y particulares (carreteras, viaductos, túneles, autopistas, pasos elevados) o simplemente a la realización de las obras indicadas.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promoción o ejecución de urbanizaciones.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 promoción de la edificación de inmuebles de cualquier género.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Empresas dedicadas a cimentaciones y las que realicen sondeos para la construcción principalmente.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Empresas cuya actividad principal consista en el alquiler de maquinaria y equipo para la construcción, con el personal para su manejo.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Empresas de rehabilitación, mantenimiento y demolición y derribos de obras.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Talleres de fabricación de ferralla, cuyo destino principal sea para la construcción.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Los trabajos verticales de construcción, rehabilitación, reparación y pintura.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Gestión de residuos en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xml:space="preserve">– </w:t>
      </w:r>
      <w:r>
        <w:rPr>
          <w:rFonts w:ascii="Verdana" w:cs="Times New Roman" w:eastAsia="Times New Roman" w:hAnsi="Verdana"/>
          <w:color w:val="525252"/>
          <w:sz w:val="17"/>
          <w:szCs w:val="17"/>
          <w:lang w:eastAsia="es-ES"/>
        </w:rPr>
        <w:t>Las de control de calidad para la construcción y obras públicas.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La conservación y mantenimiento de autopistas, autovías, carreteras y vías férreas, en desarrollo de lo previsto en el apartado b) del art. 3 del presente Convenio.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Canteras, areneras, graveras y la explotación de tierras industriales.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desarrollo de lo dispuesto en el apartado c) del art. 3 de este Convenio, son aplicables sus preceptos a las relaciones de trabajo en las empresas dedicadas a la explotación de canteras, graveras y areneras, para la obtención de piedra para la construcción y tierras silíceas refractarias y demás industriales, bien explotadas a cielo abierto, galerías o minas que no se exploten como industria auxiliar de otra principal que se halle reglamentada.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exceptúan los trabajos de las empresas explotadoras de tierras industriales que vengan regulándose por la Reglamentación Nacional de Trabajo en las Minas de Fosfatos, Azufre, Potasa, Talco y demás explotaciones mineras no comprendidas en otra Reglamentación.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Embarcaciones, artefactos flotantes y ferrocarriles auxiliares de obras y puertos.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desarrollo de lo dispuesto en el apartado d) del art. 3 de este Convenio, son de aplicación sus preceptos al personal de embarcaciones, artefactos flotantes y explotaciones de ferrocarriles auxiliares de las obras de puertos y, en general, a todos aquellos trabajadores empleados en la construcción o reparación de los mismos, así como las ampliaciones, modificaciones y excepciones que se establezcan para este grupo siempre y cuando el trabajo del mismo se efectúe de manera exclusiva para la construcción y reparación de los puertos.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El comercio de construcción mayoritario y exclusivista.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desarrollo de lo dispuesto en el apartado e) del art. 3 de este Convenio, se regirán por el mismo el comercio de cualquiera de los artículos elaborados por empresas incluidas dentro del ámbito de este convenio o destinadas al uso principal de las mismas, con arreglo a sus propias funciones y actividades, siempre que sean mayoristas y exclusivistas.</w:t>
      </w:r>
    </w:p>
    <w:p>
      <w:pPr>
        <w:pStyle w:val="style0"/>
        <w:shd w:fill="FFFFFF" w:val="clear"/>
        <w:spacing w:after="28" w:before="28" w:line="300" w:lineRule="atLeast"/>
        <w:jc w:val="both"/>
      </w:pPr>
      <w:bookmarkStart w:id="631" w:name="LOC_ANX.2"/>
      <w:bookmarkStart w:id="632" w:name="SE333"/>
      <w:bookmarkEnd w:id="631"/>
      <w:bookmarkEnd w:id="632"/>
      <w:r>
        <w:rPr>
          <w:rFonts w:ascii="Verdana" w:cs="Times New Roman" w:eastAsia="Times New Roman" w:hAnsi="Verdana"/>
          <w:b/>
          <w:bCs/>
          <w:color w:val="0087AD"/>
          <w:sz w:val="21"/>
          <w:lang w:eastAsia="es-ES"/>
        </w:rPr>
        <w:t>ANEXO 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Modelo de renovación de contrato fijo de obra</w:t>
      </w:r>
    </w:p>
    <w:p>
      <w:pPr>
        <w:pStyle w:val="style0"/>
        <w:shd w:fill="FFFFFF" w:val="clear"/>
        <w:spacing w:after="28" w:before="28" w:line="300" w:lineRule="atLeast"/>
        <w:jc w:val="both"/>
      </w:pPr>
      <w:bookmarkStart w:id="633" w:name="LOC_ANX.2#MOD.1"/>
      <w:bookmarkStart w:id="634" w:name="LOC_ANX.2.MOD.1"/>
      <w:bookmarkEnd w:id="633"/>
      <w:bookmarkEnd w:id="634"/>
      <w:r>
        <w:rPr>
          <w:rFonts w:ascii="Verdana" w:cs="Times New Roman" w:eastAsia="Times New Roman" w:hAnsi="Verdana"/>
          <w:color w:val="525252"/>
          <w:sz w:val="17"/>
          <w:szCs w:val="17"/>
          <w:lang w:eastAsia="es-ES"/>
        </w:rPr>
        <w:t>EMPRESA . . . . . .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TRABAJADOR . .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CATEGORÍA . . . . .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De conformidad con lo estipulado en el art. 24 del Convenio General del Sector de la Construcción vigente de común acuerdo con la empresa . . . . . . . . . . . . . . . . . . . . . . . . . . . . . . . . . , el trabajador acepta prestar sus servicios en el centro de trabajo «. . . . . . . . . . . . . . . . . . . . . . . . . . . . . . . . . . . . . . . . . . . . . . . . » a partir del día . . . . . . . . . de . . . . . . . . . . . . . . . . . . . . . . . . . . de 2.0.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Y para que así conste, ambas partes firman el presente acuerdo en . . . . . . . . . . . a . . . . . . . . . . de . . . . . . . . . . . . . . . . . . . . de 2.0. . .</w:t>
      </w:r>
    </w:p>
    <w:tbl>
      <w:tblPr>
        <w:jc w:val="center"/>
        <w:tblBorders/>
      </w:tblPr>
      <w:tblGrid>
        <w:gridCol w:w="4258"/>
        <w:gridCol w:w="4245"/>
      </w:tblGrid>
      <w:tr>
        <w:trPr>
          <w:cantSplit w:val="false"/>
        </w:trPr>
        <w:tc>
          <w:tcPr>
            <w:tcW w:type="dxa" w:w="4258"/>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El trabajador,</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w:t>
            </w:r>
          </w:p>
        </w:tc>
        <w:tc>
          <w:tcPr>
            <w:tcW w:type="dxa" w:w="4245"/>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La empresa,</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w:t>
            </w:r>
          </w:p>
        </w:tc>
      </w:tr>
    </w:tbl>
    <w:p>
      <w:pPr>
        <w:pStyle w:val="style0"/>
        <w:shd w:fill="FFFFFF" w:val="clear"/>
        <w:spacing w:after="28" w:before="28" w:line="300" w:lineRule="atLeast"/>
        <w:jc w:val="both"/>
      </w:pPr>
      <w:bookmarkStart w:id="635" w:name="LOC_ANX.3"/>
      <w:bookmarkStart w:id="636" w:name="SE334"/>
      <w:bookmarkEnd w:id="635"/>
      <w:bookmarkEnd w:id="636"/>
      <w:r>
        <w:rPr>
          <w:rFonts w:ascii="Verdana" w:cs="Times New Roman" w:eastAsia="Times New Roman" w:hAnsi="Verdana"/>
          <w:b/>
          <w:bCs/>
          <w:color w:val="0087AD"/>
          <w:sz w:val="21"/>
          <w:lang w:eastAsia="es-ES"/>
        </w:rPr>
        <w:t>ANEXO III.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Modelo de recibo de finiquito de la relación laboral</w:t>
      </w:r>
    </w:p>
    <w:p>
      <w:pPr>
        <w:pStyle w:val="style0"/>
        <w:shd w:fill="FFFFFF" w:val="clear"/>
        <w:spacing w:after="28" w:before="28" w:line="300" w:lineRule="atLeast"/>
        <w:jc w:val="both"/>
      </w:pPr>
      <w:bookmarkStart w:id="637" w:name="LOC_ANX.3#MOD.2"/>
      <w:bookmarkStart w:id="638" w:name="LOC_ANX.3.MOD.2"/>
      <w:bookmarkEnd w:id="637"/>
      <w:bookmarkEnd w:id="638"/>
      <w:r>
        <w:rPr>
          <w:rFonts w:ascii="Verdana" w:cs="Times New Roman" w:eastAsia="Times New Roman" w:hAnsi="Verdana"/>
          <w:color w:val="525252"/>
          <w:sz w:val="17"/>
          <w:szCs w:val="17"/>
          <w:lang w:eastAsia="es-ES"/>
        </w:rPr>
        <w:t>Nº.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Recibo de finiquito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 . . . . . . . . . . . . . . . . . . . . . . . . . . . . . . . . . . . . . . . . . . . . . . . . . . . . . . . . . . . . . . . . . que ha trabajado en la Empresa . . . . . . . . . . . . . . . . . . . . . . . . . . . . . . . . . . . . . . . . . . . . . .desde . . . . . . . . . . . . . . . . . . . . . . . . . . . . . . hasta . . . . . . . . . . . . . . . . . . . . . . . . . . . . . . .con la categoría de . . . . . . . . . . . . . . . . . . . . . . . . . . . . . . . . . . . . . . . . . . . . . . . . . . . . . . . .declaro que he recibido de ésta, la cantidad de. . . . . . . . . . . . . . . . . . . . Euros, en concepto de liquidación total por mi baja en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Quedo así indemnizado y liquidado por todos los conceptos que pudieran derivarse de la relación laboral que unía a las partes y que queda extinguida, manifestando expresamente que nada más tengo que reclamar, estando de acuerdo en ello con la Empresa.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 . . . . . . . . a. . . de. . . . . . . . . . de. . . .</w:t>
      </w:r>
    </w:p>
    <w:tbl>
      <w:tblPr>
        <w:jc w:val="center"/>
        <w:tblBorders/>
      </w:tblPr>
      <w:tblGrid>
        <w:gridCol w:w="4262"/>
        <w:gridCol w:w="4241"/>
      </w:tblGrid>
      <w:tr>
        <w:trPr>
          <w:cantSplit w:val="false"/>
        </w:trPr>
        <w:tc>
          <w:tcPr>
            <w:tcW w:type="dxa" w:w="4262"/>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r>
          </w:p>
        </w:tc>
        <w:tc>
          <w:tcPr>
            <w:tcW w:type="dxa" w:w="4241"/>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El trabajador,</w:t>
            </w:r>
          </w:p>
        </w:tc>
      </w:tr>
      <w:tr>
        <w:trPr>
          <w:cantSplit w:val="false"/>
        </w:trPr>
        <w:tc>
          <w:tcPr>
            <w:tcW w:type="dxa" w:w="4262"/>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El trabajador (1). . . . . . usa de su derecho a que esté en la firma un representante legal suyo en la empresa, o en su defecto un representante sindical de los sindicatos firmantes del presente Convenio.</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(1) Sí o No</w:t>
            </w:r>
          </w:p>
        </w:tc>
        <w:tc>
          <w:tcPr>
            <w:tcW w:type="dxa" w:w="4241"/>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r>
          </w:p>
        </w:tc>
      </w:tr>
    </w:tbl>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Este documento tiene una validez de quince días naturales a contar desde la fecha de su expedición.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Expedido por . . . .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Fecha de Expedición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SELLO Y FIRMA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Este recibo no tendrá validez sin el sello y firma de la organización empresarial correspondiente o si se formaliza en fotocopia u otro medio de reproducción.</w:t>
      </w:r>
    </w:p>
    <w:p>
      <w:pPr>
        <w:pStyle w:val="style0"/>
        <w:shd w:fill="FFFFFF" w:val="clear"/>
        <w:spacing w:after="28" w:before="28" w:line="300" w:lineRule="atLeast"/>
        <w:jc w:val="both"/>
      </w:pPr>
      <w:bookmarkStart w:id="639" w:name="LOC_ANX.4"/>
      <w:bookmarkStart w:id="640" w:name="SE335"/>
      <w:bookmarkEnd w:id="639"/>
      <w:bookmarkEnd w:id="640"/>
      <w:r>
        <w:rPr>
          <w:rFonts w:ascii="Verdana" w:cs="Times New Roman" w:eastAsia="Times New Roman" w:hAnsi="Verdana"/>
          <w:b/>
          <w:bCs/>
          <w:color w:val="0087AD"/>
          <w:sz w:val="21"/>
          <w:lang w:eastAsia="es-ES"/>
        </w:rPr>
        <w:t>ANEXO IV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Formato de la Tarjeta Profesional de la Construcción</w:t>
      </w:r>
    </w:p>
    <w:p>
      <w:pPr>
        <w:pStyle w:val="style0"/>
        <w:shd w:fill="FFFFFF" w:val="clear"/>
        <w:spacing w:after="28" w:before="28" w:line="300" w:lineRule="atLeast"/>
        <w:jc w:val="both"/>
      </w:pPr>
      <w:r>
        <w:rPr>
          <w:rFonts w:ascii="Verdana" w:cs="Times New Roman" w:eastAsia="Times New Roman" w:hAnsi="Verdana"/>
          <w:i/>
          <w:iCs/>
          <w:color w:val="525252"/>
          <w:sz w:val="17"/>
          <w:lang w:eastAsia="es-ES"/>
        </w:rPr>
        <w:t>Especificaciones de la tarjeta</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Tarjeta PVC.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Banda magnética de baja coercitividad.</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Fondo de la Tarjeta en color azul, texto en blanco.</w:t>
      </w:r>
    </w:p>
    <w:p>
      <w:pPr>
        <w:pStyle w:val="style0"/>
        <w:shd w:fill="FFFFFF" w:val="clear"/>
        <w:spacing w:after="28" w:before="28" w:line="300" w:lineRule="atLeast"/>
        <w:jc w:val="both"/>
      </w:pPr>
      <w:r>
        <w:rPr>
          <w:rFonts w:ascii="Verdana" w:cs="Times New Roman" w:eastAsia="Times New Roman" w:hAnsi="Verdana"/>
          <w:i/>
          <w:iCs/>
          <w:color w:val="525252"/>
          <w:sz w:val="17"/>
          <w:lang w:eastAsia="es-ES"/>
        </w:rPr>
        <w:t>Elementos de la tarjeta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Anverso</w:t>
      </w:r>
    </w:p>
    <w:p>
      <w:pPr>
        <w:pStyle w:val="style0"/>
        <w:shd w:fill="FFFFFF" w:val="clear"/>
        <w:spacing w:after="0" w:before="0" w:line="300" w:lineRule="atLeast"/>
        <w:jc w:val="center"/>
      </w:pPr>
      <w:bookmarkStart w:id="641" w:name="LOC_ANX.4#FIG.1"/>
      <w:bookmarkStart w:id="642" w:name="LOC_ANX.4.FIG.1"/>
      <w:bookmarkEnd w:id="641"/>
      <w:bookmarkEnd w:id="642"/>
      <w:r>
        <w:rPr/>
        <w:drawing>
          <wp:inline distB="0" distL="0" distR="0" distT="0">
            <wp:extent cx="2409190" cy="15906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2409190" cy="1590675"/>
                    </a:xfrm>
                    <a:prstGeom prst="rect">
                      <a:avLst/>
                    </a:prstGeom>
                    <a:noFill/>
                    <a:ln w="9525">
                      <a:noFill/>
                      <a:miter lim="800000"/>
                      <a:headEnd/>
                      <a:tailEnd/>
                    </a:ln>
                  </pic:spPr>
                </pic:pic>
              </a:graphicData>
            </a:graphic>
          </wp:inline>
        </w:drawing>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Reverso</w:t>
      </w:r>
    </w:p>
    <w:p>
      <w:pPr>
        <w:pStyle w:val="style0"/>
        <w:shd w:fill="FFFFFF" w:val="clear"/>
        <w:spacing w:after="0" w:before="0" w:line="300" w:lineRule="atLeast"/>
        <w:jc w:val="center"/>
      </w:pPr>
      <w:bookmarkStart w:id="643" w:name="LOC_ANX.4#FIG.2"/>
      <w:bookmarkStart w:id="644" w:name="LOC_ANX.4.FIG.2"/>
      <w:bookmarkEnd w:id="643"/>
      <w:bookmarkEnd w:id="644"/>
      <w:r>
        <w:rPr/>
        <w:drawing>
          <wp:inline distB="0" distL="0" distR="0" distT="0">
            <wp:extent cx="2447925" cy="16097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2447925" cy="1609725"/>
                    </a:xfrm>
                    <a:prstGeom prst="rect">
                      <a:avLst/>
                    </a:prstGeom>
                    <a:noFill/>
                    <a:ln w="9525">
                      <a:noFill/>
                      <a:miter lim="800000"/>
                      <a:headEnd/>
                      <a:tailEnd/>
                    </a:ln>
                  </pic:spPr>
                </pic:pic>
              </a:graphicData>
            </a:graphic>
          </wp:inline>
        </w:drawing>
      </w:r>
    </w:p>
    <w:p>
      <w:pPr>
        <w:pStyle w:val="style0"/>
        <w:shd w:fill="FFFFFF" w:val="clear"/>
        <w:spacing w:after="28" w:before="28" w:line="300" w:lineRule="atLeast"/>
        <w:jc w:val="both"/>
      </w:pPr>
      <w:bookmarkStart w:id="645" w:name="LOC_ANX.5"/>
      <w:bookmarkStart w:id="646" w:name="SE336"/>
      <w:bookmarkEnd w:id="645"/>
      <w:bookmarkEnd w:id="646"/>
      <w:r>
        <w:rPr>
          <w:rFonts w:ascii="Verdana" w:cs="Times New Roman" w:eastAsia="Times New Roman" w:hAnsi="Verdana"/>
          <w:b/>
          <w:bCs/>
          <w:color w:val="0087AD"/>
          <w:sz w:val="21"/>
          <w:lang w:eastAsia="es-ES"/>
        </w:rPr>
        <w:t>ANEXO V.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Formulario de solicitud/renovación</w:t>
      </w:r>
    </w:p>
    <w:p>
      <w:pPr>
        <w:pStyle w:val="style0"/>
        <w:shd w:fill="FFFFFF" w:val="clear"/>
        <w:spacing w:after="0" w:before="0" w:line="300" w:lineRule="atLeast"/>
        <w:jc w:val="center"/>
      </w:pPr>
      <w:bookmarkStart w:id="647" w:name="LOC_ANX.5#MOD.1"/>
      <w:bookmarkStart w:id="648" w:name="LOC_ANX.5.MOD.1"/>
      <w:bookmarkEnd w:id="647"/>
      <w:bookmarkEnd w:id="648"/>
      <w:r>
        <w:rPr/>
        <w:drawing>
          <wp:inline distB="0" distL="0" distR="0" distT="0">
            <wp:extent cx="5143500" cy="73247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5"/>
                    <a:srcRect/>
                    <a:stretch>
                      <a:fillRect/>
                    </a:stretch>
                  </pic:blipFill>
                  <pic:spPr bwMode="auto">
                    <a:xfrm>
                      <a:off x="0" y="0"/>
                      <a:ext cx="5143500" cy="7324725"/>
                    </a:xfrm>
                    <a:prstGeom prst="rect">
                      <a:avLst/>
                    </a:prstGeom>
                    <a:noFill/>
                    <a:ln w="9525">
                      <a:noFill/>
                      <a:miter lim="800000"/>
                      <a:headEnd/>
                      <a:tailEnd/>
                    </a:ln>
                  </pic:spPr>
                </pic:pic>
              </a:graphicData>
            </a:graphic>
          </wp:inline>
        </w:drawing>
      </w:r>
    </w:p>
    <w:p>
      <w:pPr>
        <w:pStyle w:val="style0"/>
        <w:shd w:fill="FFFFFF" w:val="clear"/>
        <w:spacing w:after="28" w:before="28" w:line="300" w:lineRule="atLeast"/>
        <w:jc w:val="both"/>
      </w:pPr>
      <w:bookmarkStart w:id="649" w:name="LOC_ANX.6"/>
      <w:bookmarkStart w:id="650" w:name="SE337"/>
      <w:bookmarkEnd w:id="649"/>
      <w:bookmarkEnd w:id="650"/>
      <w:r>
        <w:rPr>
          <w:rFonts w:ascii="Verdana" w:cs="Times New Roman" w:eastAsia="Times New Roman" w:hAnsi="Verdana"/>
          <w:b/>
          <w:bCs/>
          <w:color w:val="0087AD"/>
          <w:sz w:val="21"/>
          <w:lang w:eastAsia="es-ES"/>
        </w:rPr>
        <w:t>ANEXO VI.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Certificado de empresa para la Fundación Laboral de la Construcción</w:t>
      </w:r>
    </w:p>
    <w:p>
      <w:pPr>
        <w:pStyle w:val="style0"/>
        <w:shd w:fill="FFFFFF" w:val="clear"/>
        <w:spacing w:after="0" w:before="0" w:line="300" w:lineRule="atLeast"/>
        <w:jc w:val="center"/>
      </w:pPr>
      <w:bookmarkStart w:id="651" w:name="LOC_ANX.6#MOD.2"/>
      <w:bookmarkStart w:id="652" w:name="LOC_ANX.6.MOD.2"/>
      <w:bookmarkEnd w:id="651"/>
      <w:bookmarkEnd w:id="652"/>
      <w:r>
        <w:rPr/>
        <w:drawing>
          <wp:inline distB="0" distL="0" distR="0" distT="0">
            <wp:extent cx="5219700" cy="70580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6"/>
                    <a:srcRect/>
                    <a:stretch>
                      <a:fillRect/>
                    </a:stretch>
                  </pic:blipFill>
                  <pic:spPr bwMode="auto">
                    <a:xfrm>
                      <a:off x="0" y="0"/>
                      <a:ext cx="5219700" cy="7058025"/>
                    </a:xfrm>
                    <a:prstGeom prst="rect">
                      <a:avLst/>
                    </a:prstGeom>
                    <a:noFill/>
                    <a:ln w="9525">
                      <a:noFill/>
                      <a:miter lim="800000"/>
                      <a:headEnd/>
                      <a:tailEnd/>
                    </a:ln>
                  </pic:spPr>
                </pic:pic>
              </a:graphicData>
            </a:graphic>
          </wp:inline>
        </w:drawing>
      </w:r>
    </w:p>
    <w:p>
      <w:pPr>
        <w:pStyle w:val="style0"/>
        <w:shd w:fill="FFFFFF" w:val="clear"/>
        <w:spacing w:after="28" w:before="28" w:line="300" w:lineRule="atLeast"/>
        <w:jc w:val="both"/>
      </w:pPr>
      <w:bookmarkStart w:id="653" w:name="LOC_ANX.7"/>
      <w:bookmarkStart w:id="654" w:name="SE338"/>
      <w:bookmarkEnd w:id="653"/>
      <w:bookmarkEnd w:id="654"/>
      <w:r>
        <w:rPr>
          <w:rFonts w:ascii="Verdana" w:cs="Times New Roman" w:eastAsia="Times New Roman" w:hAnsi="Verdana"/>
          <w:b/>
          <w:bCs/>
          <w:color w:val="0087AD"/>
          <w:sz w:val="21"/>
          <w:lang w:eastAsia="es-ES"/>
        </w:rPr>
        <w:t>ANEXO VII. </w:t>
      </w:r>
      <w:r>
        <w:rPr>
          <w:rFonts w:ascii="Verdana" w:cs="Times New Roman" w:eastAsia="Times New Roman" w:hAnsi="Verdana"/>
          <w:color w:val="0087AD"/>
          <w:sz w:val="17"/>
          <w:lang w:eastAsia="es-ES"/>
        </w:rPr>
        <w:t> </w:t>
      </w:r>
      <w:r>
        <w:rPr>
          <w:rFonts w:ascii="Verdana" w:cs="Times New Roman" w:eastAsia="Times New Roman" w:hAnsi="Verdana"/>
          <w:color w:val="0087AD"/>
          <w:sz w:val="17"/>
          <w:szCs w:val="17"/>
          <w:lang w:eastAsia="es-ES"/>
        </w:rPr>
        <w:t> Listado de puestos de trabajos y/o trabajos asociados a estos puestos de trabajos limitados para la realización de contratos de puesta a disposición por motivos de seguridad y salud y justificación de su limitación, absoluta o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 Construcción y obras públicas: apartado a) del Anexo I del CGSC: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Puestos de Trabajo limitados de forma absoluta: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Encargado Capataz.</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Jefe de Laboratorio.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Artillero.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Cantero.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Marmolista.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Montador aparatos elevación.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Montador de andamios.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Pocero.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Soldador estructuras metálicas.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Soldadores y oxicortadores.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11. Tejeros.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Este puesto de trabajo queda limitado absolutamente a prestarse por contrato de puesta a disposición por parte de una Empresa de Trabajo Temporal dado que los trabajos que debe desarrollar el trabajador conllevan en su totalidad una especial peligrosidad para la seguridad y salud para el trabajador, de acuerdo con el informe razonado.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Puestos de Trabajo limitados de forma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Administrativo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Auxiliar de laboratorio.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Auxiliar de topografía.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Jefe de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Mecánico.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Técnico de prevención en obra.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Topógrafo.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Albañil.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Carpintero aluminio, metal y PVC.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Carpintero de madera.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11. Cerrajero.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12. Chapista industrial.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13. Colocador de pavimentos ligeros.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14. Colocador de prefabricados.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15. Colocador de techos técnicos.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16. Conductor de camión.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17. Cristaleros.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18. Electricista.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19. Encofrador.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20. Escayolista/yesista.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21. Ferrallista.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22. Fontanero.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23. Gruista.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24. Implantador de medidas de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25. Instalador calefacción y ACS.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26. Instalador de gas.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27. Instalador de impermeabilizaciones.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28. Mampostero.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29. Mantenedor/mecánico industrial.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30. Montador de estructuras metálicas.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31. Operador de maquinaria.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32. Pintor señalista OC.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33. Pintor/empapelador.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34. Pulidor abrillantador suelos.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35. Revocador revestidor/estuquista.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36. Solador alicatador.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37. Peón.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Estos puestos de trabajo no podrán prestarse por contrato de puesta a disposición por parte de una Empresa de Trabajo Temporal cuando impliquen riesgos especiales para la seguridad y salud de los trabajadores por ser: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Trabajos con riesgos especialmente graves de sepultamiento, hundimiento o caída en altura, por las particulares características de la actividad desarrollada, los procedimientos.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Trabajos en los que la exposición a agentes químicos o biológicos supongan un riesgo de especial gravedad, o para los que la vigilancia específica de la salud de los trabajadores sea legalmente exigible.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Trabajos con exposición a radiaciones ionizantes para los que la normativa específica obliga a la delimitación de zonas controladas o vigiladas.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Trabajos en la proximidad de líneas eléctricas de alta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Trabajos que expongan a riesgos de ahogamiento por inmersión.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Obras de excavación en túneles, pozos y otros trabajos que supongan movimiento de tierra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Trabajos realizados en inmersión con equipos subacuáticos.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Trabajos realizados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Trabajos que impliquen el uso de explosivos.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Trabajos que requieran montar o desmontar elementos prefabricados pesados.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B. Conservación y mantenimiento de carreteras y líneas férreas: apartado b) del Anexo I del CGSC: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Puestos de Trabajo limitados de forma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Encargado y capataz.</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Jefe COEX y Jefe de Operaciones.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Oficial 1ª, 2ª, ayudante de oficio, peón especializado, de conservación y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Personal de vigilancia y seguridad.</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Responsable de almacén.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Piloto.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Estos puestos de trabajo no podrán prestarse por contrato de puesta a disposición por parte de una Empresa de Trabajo Temporal cuando impliquen riesgos especiales para la seguridad y salud de los trabajadores por ser: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Trabajos con riesgos especialmente graves de sepultamiento, hundimiento o caída en altura, por las particulares características de la actividad desarrollada, los procedimientos.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Trabajos en los que la exposición a agentes químicos o biológicos supongan un riesgo de especial gravedad, o para los que la vigilancia específica de la salud de los trabajadores sea legalmente exigible.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Trabajos con exposición a radiaciones ionizantes para los que la normativa específica obliga a la delimitación de zonas controladas o vigiladas.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Trabajos en la proximidad de líneas eléctricas de alta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Trabajos que expongan a riesgos de ahogamiento por inmersión.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Obras de excavación en túneles, pozos y otros trabajos que supongan movimiento de tierra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Trabajos realizados en inmersión con equipos subacuáticos.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Trabajos realizados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Trabajos que impliquen el uso de explosivos.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Trabajos que requieran montar o desmontar elementos prefabricados pesados.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 Canteras, areneras y graveras: apartado c) del Anexo I del CGSC:</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Canteras: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Puestos de Trabajo limitados de forma absoluta: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Encargado.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Operadores de maquinaria de perforación, voladura, corte y aserrado de bloques.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Este puesto de trabajo queda limitado absolutamente a prestarse por contrato de puesta a disposición por parte de una Empresa de Trabajo Temporal dado que los trabajos que debe desarrollar el trabajador conllevan en su totalidad una especial peligrosidad para la seguridad y salud para el trabajador, de acuerdo con el informe razonado.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Puestos de Trabajo limitados de forma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Jefe de cantera/ingeniero de producción/ingeniero de mantenimiento.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Operador de acabado o tratamientos/operador de elaboración.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Operador de grúa.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Operador de maquinaria de arranque, carga o viales/operador de maquinaria de transporte/operador de carreterilla elevadora.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Operadores de mantenimiento eléctrico y mecánico.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Vigilante.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Estos puestos de trabajo no podrán prestarse por contrato de puesta a disposición por parte de una Empresa de Trabajo Temporal cuando impliquen riesgos especiales para la seguridad y salud de los trabajadores por ser: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Trabajos con riesgos especialmente graves de sepultamiento, hundimiento o caída en altura, por las particulares características de la actividad desarrollada, los procedimientos.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Trabajos en los que la exposición a agentes químicos o biológicos supongan un riesgo de especial gravedad, o para los que la vigilancia específica de la salud de los trabajadores sea legalmente exigible.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Trabajos con exposición a radiaciones ionizantes para los que la normativa específica obliga a la delimitación de zonas controladas o vigiladas.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Trabajos en la proximidad de líneas eléctricas de alta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Trabajos que expongan a riesgos de ahogamiento por inmersión.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Obras de excavación en túneles, pozos y otros trabajos que supongan movimiento de tierra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Trabajos realizados en inmersión con equipos subacuáticos.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Trabajos realizados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Trabajos que impliquen el uso de explosivos.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Trabajos que requieran montar o desmontar elementos prefabricados pesados.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w:t>
      </w: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Areneras: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Puestos de Trabajo limitados de forma absoluta: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Laborante.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Molinero.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Este puesto de trabajo queda limitado absolutamente a prestarse por contrato de puesta a disposición por parte de una Empresa de Trabajo Temporal dado que los trabajos que debe desarrollar el trabajador conllevan en su totalidad una especial peligrosidad para la seguridad y salud para el trabajador, de acuerdo con el informe razonado.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Puestos de Trabajo limitados de forma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Administrativo.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Ensacador/personal de carga.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Jefe de planta/director de operaciones.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Mecánico/calderero/eléctrico.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Peón.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Personal de dragas.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Personal de secadero/personal de lavadero.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Estos puestos de trabajo no podrán prestarse por contrato de puesta a disposición por parte de una Empresa de Trabajo Temporal cuando impliquen riesgos especiales para la seguridad y salud de los trabajadores por ser: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Trabajos con riesgos especialmente graves de sepultamiento, hundimiento o caída en altura, por las particulares características de la actividad desarrollada, los procedimientos.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Trabajos en los que la exposición a agentes químicos o biológicos supongan un riesgo de especial gravedad, o para los que la vigilancia específica de la salud de los trabajadores sea legalmente exigible.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Trabajos con exposición a radiaciones ionizantes para los que la normativa específica obliga a la delimitación de zonas controladas o vigiladas.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Trabajos en la proximidad de líneas eléctricas de alta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Trabajos que expongan a riesgos de ahogamiento por inmersión.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Obras de excavación en túneles, pozos y otros trabajos que supongan movimiento de tierra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Trabajos realizados en inmersión con equipos subacuáticos.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Trabajos realizados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Trabajos que impliquen el uso de explosivos.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Trabajos que requieran montar o desmontar elementos prefabricados pesados.</w:t>
      </w:r>
    </w:p>
    <w:p>
      <w:pPr>
        <w:pStyle w:val="style0"/>
        <w:shd w:fill="FFFFFF" w:val="clear"/>
        <w:spacing w:after="28" w:before="28" w:line="300" w:lineRule="atLeast"/>
        <w:jc w:val="both"/>
      </w:pPr>
      <w:r>
        <w:rPr>
          <w:rFonts w:ascii="Symbol" w:cs="Times New Roman" w:eastAsia="Times New Roman" w:hAnsi="Symbol"/>
          <w:color w:val="525252"/>
          <w:sz w:val="17"/>
          <w:szCs w:val="17"/>
          <w:lang w:eastAsia="es-ES"/>
        </w:rPr>
        <w:t></w:t>
      </w:r>
      <w:r>
        <w:rPr>
          <w:rFonts w:ascii="Verdana" w:cs="Times New Roman" w:eastAsia="Times New Roman" w:hAnsi="Verdana"/>
          <w:color w:val="525252"/>
          <w:sz w:val="17"/>
          <w:lang w:eastAsia="es-ES"/>
        </w:rPr>
        <w:t> </w:t>
      </w:r>
      <w:r>
        <w:rPr>
          <w:rFonts w:ascii="Verdana" w:cs="Times New Roman" w:eastAsia="Times New Roman" w:hAnsi="Verdana"/>
          <w:color w:val="525252"/>
          <w:sz w:val="17"/>
          <w:szCs w:val="17"/>
          <w:lang w:eastAsia="es-ES"/>
        </w:rPr>
        <w:t>Graveras: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Puestos de Trabajo limitados de forma absoluta: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Laborante.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Molinero.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Soldador.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Este puesto de trabajo queda limitado absolutamente a prestarse por contrato de puesta a disposición por parte de una Empresa de Trabajo Temporal dado que los trabajos que debe desarrollar el trabajador conllevan en su totalidad una especial peligrosidad para la seguridad y salud para el trabajador, de acuerdo con el informe razonado.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Puestos de Trabajo limitados de forma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Basculista.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Conductor/palista.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Jefe de planta.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Mecánico/electricista/electromecánico.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Peón.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Estos puestos de trabajo no podrán prestarse por contrato de puesta a disposición por parte de una Empresa de Trabajo Temporal cuando impliquen riesgos especiales para la seguridad y salud de los trabajadores por ser: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Trabajos con riesgos especialmente graves de sepultamiento, hundimiento o caída en altura, por las particulares características de la actividad desarrollada, los procedimientos.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Trabajos en los que la exposición a agentes químicos o biológicos supongan un riesgo de especial gravedad, o para los que la vigilancia específica de la salud de los trabajadores sea legalmente exigible.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Trabajos con exposición a radiaciones ionizantes para los que la normativa específica obliga a la delimitación de zonas controladas o vigiladas.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Trabajos en la proximidad de líneas eléctricas de alta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Trabajos que expongan a riesgos de ahogamiento por inmersión.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Obras de excavación en túneles, pozos y otros trabajos que supongan movimiento de tierra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Trabajos realizados en inmersión con equipos subacuáticos.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Trabajos realizados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Trabajos que impliquen el uso de explosivos.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Trabajos que requieran montar o desmontar elementos prefabricados pesados.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 Obras marítimas: apartado d) del Anexo I del CGSC: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Puestos de Trabajo limitados de forma absoluta: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Buzo.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Este puesto de trabajo queda limitado absolutamente a prestarse por contrato de puesta a disposición por parte de una Empresa de Trabajo Temporal dado que los trabajos que debe desarrollar el trabajador conllevan en su totalidad una especial peligrosidad para la seguridad y salud para el trabajador, de acuerdo con el informe razonado.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Puestos de Trabajo limitados de forma relativa: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Encofradores, ferrallistas y operarios que intervienen en la puesta en obra del hormigón para la fabricación de cajones en diques flotantes y la ejecución de la superestructura de diques y muelles.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Mecánico y electricista de equipos de dragado, gánguiles, pontonas, embarcaciones auxiliares y diques flotantes.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Operador de draga.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Operador de maquinaria sobre pontonas.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Patrón, marinero y contramaestre de equipos de dragado, gánguiles, pontonas, embarcaciones auxiliares, remolcadores y diques flotantes.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Resto de actividades realizadas en obras marítimas.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Justificación: Estos puestos de trabajo no podrán prestarse por contrato de puesta a disposición por parte de una Empresa de Trabajo Temporal cuando impliquen riesgos especiales para la seguridad y salud de los trabajadores por ser:</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 Trabajos con riesgos especialmente graves de sepultamiento, hundimiento o caída en altura, por las particulares características de la actividad desarrollada, los procedimientos.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2. Trabajos en los que la exposición a agentes químicos o biológicos supongan un riesgo de especial gravedad, o para los que la vigilancia específica de la salud de los trabajadores sea legalmente exigible.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3. Trabajos con exposición a radiaciones ionizantes para los que la normativa específica obliga a la delimitación de zonas controladas o vigiladas.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4. Trabajos en la proximidad de líneas eléctricas de alta tensión.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5. Trabajos que expongan a riesgos de ahogamiento por inmersión.</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6. Obras de excavación en túneles, pozos y otros trabajos que supongan movimiento de tierra subterráneos.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7. Trabajos realizados en inmersión con equipos subacuáticos.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8. Trabajos realizados en cajones de aire comprimido.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9. Trabajos que impliquen el uso de explosivos.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10. Trabajos que requieran montar o desmontar elementos prefabricados pesados.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 Comercio de construcción mayoritario y exclusivista: apartado e) del Anexo I del CGSC:</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Permitidos en todos los puestos de trabajo.</w:t>
      </w:r>
    </w:p>
    <w:p>
      <w:pPr>
        <w:pStyle w:val="style0"/>
        <w:shd w:fill="FFFFFF" w:val="clear"/>
        <w:spacing w:after="28" w:before="28" w:line="300" w:lineRule="atLeast"/>
        <w:jc w:val="both"/>
      </w:pPr>
      <w:bookmarkStart w:id="655" w:name="LOC_ANX.8"/>
      <w:bookmarkStart w:id="656" w:name="SE339"/>
      <w:bookmarkEnd w:id="655"/>
      <w:bookmarkEnd w:id="656"/>
      <w:r>
        <w:rPr>
          <w:rFonts w:ascii="Verdana" w:cs="Times New Roman" w:eastAsia="Times New Roman" w:hAnsi="Verdana"/>
          <w:b/>
          <w:bCs/>
          <w:color w:val="0087AD"/>
          <w:sz w:val="21"/>
          <w:lang w:eastAsia="es-ES"/>
        </w:rPr>
        <w:t>ANEXO VIII </w:t>
      </w:r>
    </w:p>
    <w:p>
      <w:pPr>
        <w:pStyle w:val="style0"/>
        <w:shd w:fill="FFFFFF" w:val="clear"/>
        <w:spacing w:after="28" w:before="28" w:line="300" w:lineRule="atLeast"/>
        <w:jc w:val="both"/>
      </w:pPr>
      <w:bookmarkStart w:id="657" w:name="LOC_ANX.8#MOD.3"/>
      <w:bookmarkStart w:id="658" w:name="LOC_ANX.8.MOD.3"/>
      <w:bookmarkEnd w:id="657"/>
      <w:bookmarkEnd w:id="658"/>
      <w:r>
        <w:rPr>
          <w:rFonts w:ascii="Verdana" w:cs="Times New Roman" w:eastAsia="Times New Roman" w:hAnsi="Verdana"/>
          <w:b/>
          <w:bCs/>
          <w:color w:val="525252"/>
          <w:sz w:val="17"/>
          <w:lang w:eastAsia="es-ES"/>
        </w:rPr>
        <w:t>A la Comisión Paritaria Provincial/Estatal</w:t>
      </w:r>
    </w:p>
    <w:p>
      <w:pPr>
        <w:pStyle w:val="style0"/>
        <w:shd w:fill="FFFFFF" w:val="clear"/>
        <w:spacing w:after="28" w:before="28" w:line="300" w:lineRule="atLeast"/>
        <w:jc w:val="both"/>
      </w:pPr>
      <w:r>
        <w:rPr>
          <w:rFonts w:ascii="Verdana" w:cs="Times New Roman" w:eastAsia="Times New Roman" w:hAnsi="Verdana"/>
          <w:i/>
          <w:iCs/>
          <w:color w:val="525252"/>
          <w:sz w:val="17"/>
          <w:lang w:eastAsia="es-ES"/>
        </w:rPr>
        <w:t>Inaplicación de condiciones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Acta de desacuerdo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Datos de la Empresa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Nombre o razón social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CIF . . . . . . . . . . . . . . . . . . . . . . . Domicilio social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Localidad . . . . . . . . . . . . . . . . . . . . . . . . . . . . . . . . . Código Postal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Convenio/s colectivo/s aplicable/s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 . . . . . . . . . . . . . . .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Empresa . . . . . . . . . . . . . . . . . . . . . . . . . . . . . . . . . . . . . y su Representación de los Trabajadores, comunican que han finalizado sin acuerdo la inaplicación planteada de acuerdo al art. 17.4 del Convenio Colectivo Sectorial Estatal.</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remite a la Comisión Paritaria la presente Acta junto con la solicitud de inaplicación que formula la empresa y la documentación correspondiente. Se envían asimismo, en su caso, las alegaciones que efectúa la Representación de los Trabajadores junto con la documentación aportada.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Ambas partes, Empresa y Representación de los Trabajadores, se dirigen a la Comisión Paritaria para que ésta resuelva la inaplicación planteada, solicitando ambas partes, para el caso de que la Comisión no alcance acuerdo, someterse al Arbitraje Vinculante del correspondiente Servicio Interconfederal de Mediación y Arbitraje.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 . . . . . . . . . . . . a . . . . . . de . . . . . . . . . . . . . . . de . . . . . . .</w:t>
      </w:r>
    </w:p>
    <w:tbl>
      <w:tblPr>
        <w:jc w:val="center"/>
        <w:tblBorders/>
      </w:tblPr>
      <w:tblGrid>
        <w:gridCol w:w="4279"/>
        <w:gridCol w:w="4224"/>
      </w:tblGrid>
      <w:tr>
        <w:trPr>
          <w:cantSplit w:val="false"/>
        </w:trPr>
        <w:tc>
          <w:tcPr>
            <w:tcW w:type="dxa" w:w="4279"/>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Firmado</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Representación Trabajadores</w:t>
            </w:r>
          </w:p>
        </w:tc>
        <w:tc>
          <w:tcPr>
            <w:tcW w:type="dxa" w:w="4224"/>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Firmado</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Empresa</w:t>
            </w:r>
          </w:p>
        </w:tc>
      </w:tr>
    </w:tbl>
    <w:p>
      <w:pPr>
        <w:pStyle w:val="style0"/>
        <w:shd w:fill="FFFFFF" w:val="clear"/>
        <w:spacing w:after="28" w:before="28" w:line="300" w:lineRule="atLeast"/>
        <w:jc w:val="both"/>
      </w:pPr>
      <w:bookmarkStart w:id="659" w:name="LOC_ANX.9"/>
      <w:bookmarkStart w:id="660" w:name="SE340"/>
      <w:bookmarkEnd w:id="659"/>
      <w:bookmarkEnd w:id="660"/>
      <w:r>
        <w:rPr>
          <w:rFonts w:ascii="Verdana" w:cs="Times New Roman" w:eastAsia="Times New Roman" w:hAnsi="Verdana"/>
          <w:b/>
          <w:bCs/>
          <w:color w:val="0087AD"/>
          <w:sz w:val="21"/>
          <w:lang w:eastAsia="es-ES"/>
        </w:rPr>
        <w:t>ANEXO IX </w:t>
      </w:r>
    </w:p>
    <w:p>
      <w:pPr>
        <w:pStyle w:val="style0"/>
        <w:shd w:fill="FFFFFF" w:val="clear"/>
        <w:spacing w:after="28" w:before="28" w:line="300" w:lineRule="atLeast"/>
        <w:jc w:val="both"/>
      </w:pPr>
      <w:bookmarkStart w:id="661" w:name="LOC_ANX.9#MOD.4"/>
      <w:bookmarkStart w:id="662" w:name="LOC_ANX.9.MOD.4"/>
      <w:bookmarkEnd w:id="661"/>
      <w:bookmarkEnd w:id="662"/>
      <w:r>
        <w:rPr>
          <w:rFonts w:ascii="Verdana" w:cs="Times New Roman" w:eastAsia="Times New Roman" w:hAnsi="Verdana"/>
          <w:b/>
          <w:bCs/>
          <w:color w:val="525252"/>
          <w:sz w:val="17"/>
          <w:lang w:eastAsia="es-ES"/>
        </w:rPr>
        <w:t>A la Comisión Paritaria Provincial/Estatal</w:t>
      </w:r>
    </w:p>
    <w:p>
      <w:pPr>
        <w:pStyle w:val="style0"/>
        <w:shd w:fill="FFFFFF" w:val="clear"/>
        <w:spacing w:after="28" w:before="28" w:line="300" w:lineRule="atLeast"/>
        <w:jc w:val="both"/>
      </w:pPr>
      <w:r>
        <w:rPr>
          <w:rFonts w:ascii="Verdana" w:cs="Times New Roman" w:eastAsia="Times New Roman" w:hAnsi="Verdana"/>
          <w:i/>
          <w:iCs/>
          <w:color w:val="525252"/>
          <w:sz w:val="17"/>
          <w:lang w:eastAsia="es-ES"/>
        </w:rPr>
        <w:t>Modificación sustancial de condiciones de trabajo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Acta de desacuerdo</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Datos de la Empresa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Nombre o razón social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CIF . . . . . . . . . . . . . . . . . . . . . . . Domicilio social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Localidad . . . . . . . . . . . . . . . . . . . . . . . . . . . . . . . . . Código Postal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Convenio/s colectivo/s aplicable/s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 . . . . . . . . . . . . . . . . . . . . . . . . . . . . . . . . . . . . . . . . . . . . . . . . . . . . . . . . . . . . . . . . . . . . .</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La Empresa . . . . . . . . . . . . . . . . . . . . . . . . . . . . . . . . . . . . . y su Representación de los Trabajadores, comunican que han finalizado sin acuerdo la inaplicación planteada de acuerdo al art. 41 del Estatuto de los Trabajadores.</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Se remite a la Comisión Paritaria la presente Acta junto con la solicitud de modificación de la empresa y sus causas, junto con la documentación correspondiente. Se envían asimismo, en su caso, las alegaciones que efectúa la Representación de los Trabajadores y la documentación aportada.</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Ambas partes, Empresa y Representación de los Trabajadores, se dirigen a la Comisión Paritaria para que ésta resuelva la discrepancia, solicitando ambas partes, para el caso de que la Comisión no alcance acuerdo, someterse al Arbitraje Vinculante del correspondiente Servicio Interconfederal de Mediación y Arbitraje.</w:t>
      </w:r>
    </w:p>
    <w:p>
      <w:pPr>
        <w:pStyle w:val="style0"/>
        <w:shd w:fill="FFFFFF" w:val="clear"/>
        <w:spacing w:after="28" w:before="28" w:line="300" w:lineRule="atLeast"/>
        <w:jc w:val="both"/>
      </w:pPr>
      <w:r>
        <w:rPr>
          <w:rFonts w:ascii="Verdana" w:cs="Times New Roman" w:eastAsia="Times New Roman" w:hAnsi="Verdana"/>
          <w:color w:val="525252"/>
          <w:sz w:val="17"/>
          <w:szCs w:val="17"/>
          <w:lang w:eastAsia="es-ES"/>
        </w:rPr>
        <w:t>En . . . . . . . . . . . . . a . . . . . . de . . . . . . . . . . . . . . . de . . . . . . .</w:t>
      </w:r>
    </w:p>
    <w:tbl>
      <w:tblPr>
        <w:jc w:val="center"/>
        <w:tblBorders/>
      </w:tblPr>
      <w:tblGrid>
        <w:gridCol w:w="4279"/>
        <w:gridCol w:w="4224"/>
      </w:tblGrid>
      <w:tr>
        <w:trPr>
          <w:cantSplit w:val="false"/>
        </w:trPr>
        <w:tc>
          <w:tcPr>
            <w:tcW w:type="dxa" w:w="4279"/>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Firmado</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Representación Trabajadores</w:t>
            </w:r>
          </w:p>
        </w:tc>
        <w:tc>
          <w:tcPr>
            <w:tcW w:type="dxa" w:w="4224"/>
            <w:tcBorders/>
            <w:shd w:fill="auto" w:val="clear"/>
            <w:tcMar>
              <w:top w:type="dxa" w:w="0"/>
              <w:left w:type="dxa" w:w="0"/>
              <w:bottom w:type="dxa" w:w="0"/>
              <w:right w:type="dxa" w:w="0"/>
            </w:tcMar>
            <w:vAlign w:val="center"/>
          </w:tcPr>
          <w:p>
            <w:pPr>
              <w:pStyle w:val="style0"/>
              <w:spacing w:after="0" w:before="150" w:line="100" w:lineRule="atLeast"/>
            </w:pPr>
            <w:r>
              <w:rPr>
                <w:rFonts w:ascii="Times New Roman" w:cs="Times New Roman" w:eastAsia="Times New Roman" w:hAnsi="Times New Roman"/>
                <w:sz w:val="14"/>
                <w:szCs w:val="14"/>
                <w:lang w:eastAsia="es-ES"/>
              </w:rPr>
              <w:t>Firmado</w:t>
            </w:r>
            <w:r>
              <w:rPr>
                <w:rFonts w:ascii="Times New Roman" w:cs="Times New Roman" w:eastAsia="Times New Roman" w:hAnsi="Times New Roman"/>
                <w:sz w:val="14"/>
                <w:lang w:eastAsia="es-ES"/>
              </w:rPr>
              <w:t> </w:t>
            </w:r>
            <w:r>
              <w:rPr>
                <w:rFonts w:ascii="Times New Roman" w:cs="Times New Roman" w:eastAsia="Times New Roman" w:hAnsi="Times New Roman"/>
                <w:sz w:val="14"/>
                <w:szCs w:val="14"/>
                <w:lang w:eastAsia="es-ES"/>
              </w:rPr>
              <w:br/>
              <w:t>Empresa</w:t>
            </w:r>
          </w:p>
        </w:tc>
      </w:tr>
    </w:tbl>
    <w:p>
      <w:pPr>
        <w:pStyle w:val="style0"/>
        <w:shd w:fill="FFFFFF" w:val="clear"/>
        <w:spacing w:after="0" w:before="0" w:line="100" w:lineRule="atLeast"/>
        <w:jc w:val="center"/>
      </w:pPr>
      <w:r>
        <w:rPr>
          <w:rFonts w:ascii="Verdana" w:cs="Times New Roman" w:eastAsia="Times New Roman" w:hAnsi="Verdana"/>
          <w:color w:val="525252"/>
          <w:sz w:val="17"/>
          <w:szCs w:val="17"/>
          <w:lang w:eastAsia="es-ES"/>
        </w:rPr>
        <w:br/>
      </w:r>
    </w:p>
    <w:p>
      <w:pPr>
        <w:pStyle w:val="style0"/>
      </w:pPr>
      <w:r>
        <w:rPr/>
      </w:r>
    </w:p>
    <w:sectPr>
      <w:headerReference r:id="rId7" w:type="even"/>
      <w:headerReference r:id="rId8" w:type="default"/>
      <w:footerReference r:id="rId9" w:type="even"/>
      <w:footerReference r:id="rId10" w:type="default"/>
      <w:type w:val="nextPage"/>
      <w:pgSz w:h="16838" w:w="11906"/>
      <w:pgMar w:bottom="1417" w:footer="708" w:gutter="0" w:header="708" w:left="1701" w:right="1701"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Symbol">
    <w:charset w:val="02"/>
    <w:family w:val="auto"/>
    <w:pitch w:val="default"/>
  </w:font>
  <w:font w:name="Courier New">
    <w:charset w:val="80"/>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pPr>
    <w:r>
      <w:rPr>
        <w:sz w:val="8"/>
        <w:szCs w:val="8"/>
      </w:rPr>
      <w:t xml:space="preserve">G.Elias y Muñoz Abogados, SCP. Abogados Madrid. Abogados Majadahonda y Abogados Pozuelo. Despacho de Abogados Madrid, </w:t>
    </w:r>
  </w:p>
  <w:p>
    <w:pPr>
      <w:pStyle w:val="style38"/>
    </w:pPr>
    <w:r>
      <w:rPr/>
    </w:r>
  </w:p>
</w:hdr>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2">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evenAndOddHeaders/>
</w:settings>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200" w:before="0" w:line="276" w:lineRule="auto"/>
    </w:pPr>
    <w:rPr>
      <w:rFonts w:ascii="Calibri" w:cs="Calibri" w:eastAsia="WenQuanYi Zen Hei Sharp" w:hAnsi="Calibri"/>
      <w:color w:val="auto"/>
      <w:sz w:val="22"/>
      <w:szCs w:val="22"/>
      <w:lang w:bidi="ar-SA" w:eastAsia="en-US" w:val="es-ES"/>
    </w:rPr>
  </w:style>
  <w:style w:styleId="style15" w:type="character">
    <w:name w:val="Default Paragraph Font"/>
    <w:next w:val="style15"/>
    <w:rPr/>
  </w:style>
  <w:style w:styleId="style16" w:type="character">
    <w:name w:val="Enlace de Internet"/>
    <w:basedOn w:val="style15"/>
    <w:next w:val="style16"/>
    <w:rPr>
      <w:color w:val="0000FF"/>
      <w:u w:val="single"/>
      <w:lang w:bidi="es-ES" w:eastAsia="es-ES" w:val="es-ES"/>
    </w:rPr>
  </w:style>
  <w:style w:styleId="style17" w:type="character">
    <w:name w:val="FollowedHyperlink"/>
    <w:basedOn w:val="style15"/>
    <w:next w:val="style17"/>
    <w:rPr>
      <w:color w:val="800080"/>
      <w:u w:val="single"/>
    </w:rPr>
  </w:style>
  <w:style w:styleId="style18" w:type="character">
    <w:name w:val="bold"/>
    <w:basedOn w:val="style15"/>
    <w:next w:val="style18"/>
    <w:rPr/>
  </w:style>
  <w:style w:styleId="style19" w:type="character">
    <w:name w:val="apple-converted-space"/>
    <w:basedOn w:val="style15"/>
    <w:next w:val="style19"/>
    <w:rPr/>
  </w:style>
  <w:style w:styleId="style20" w:type="character">
    <w:name w:val="folder"/>
    <w:basedOn w:val="style15"/>
    <w:next w:val="style20"/>
    <w:rPr/>
  </w:style>
  <w:style w:styleId="style21" w:type="character">
    <w:name w:val="mayor"/>
    <w:basedOn w:val="style15"/>
    <w:next w:val="style21"/>
    <w:rPr/>
  </w:style>
  <w:style w:styleId="style22" w:type="character">
    <w:name w:val="mayor_2"/>
    <w:basedOn w:val="style15"/>
    <w:next w:val="style22"/>
    <w:rPr/>
  </w:style>
  <w:style w:styleId="style23" w:type="character">
    <w:name w:val="Muy destacado"/>
    <w:basedOn w:val="style15"/>
    <w:next w:val="style23"/>
    <w:rPr>
      <w:b/>
      <w:bCs/>
    </w:rPr>
  </w:style>
  <w:style w:styleId="style24" w:type="character">
    <w:name w:val="icono"/>
    <w:basedOn w:val="style15"/>
    <w:next w:val="style24"/>
    <w:rPr/>
  </w:style>
  <w:style w:styleId="style25" w:type="character">
    <w:name w:val="Destacado"/>
    <w:basedOn w:val="style15"/>
    <w:next w:val="style25"/>
    <w:rPr>
      <w:i/>
      <w:iCs/>
    </w:rPr>
  </w:style>
  <w:style w:styleId="style26" w:type="character">
    <w:name w:val="Encabezado Car"/>
    <w:basedOn w:val="style15"/>
    <w:next w:val="style26"/>
    <w:rPr/>
  </w:style>
  <w:style w:styleId="style27" w:type="character">
    <w:name w:val="Pie de página Car"/>
    <w:basedOn w:val="style15"/>
    <w:next w:val="style27"/>
    <w:rPr/>
  </w:style>
  <w:style w:styleId="style28" w:type="character">
    <w:name w:val="ListLabel 1"/>
    <w:next w:val="style28"/>
    <w:rPr>
      <w:sz w:val="20"/>
    </w:rPr>
  </w:style>
  <w:style w:styleId="style29" w:type="paragraph">
    <w:name w:val="Encabezado"/>
    <w:basedOn w:val="style0"/>
    <w:next w:val="style30"/>
    <w:pPr>
      <w:keepNext/>
      <w:spacing w:after="120" w:before="240"/>
    </w:pPr>
    <w:rPr>
      <w:rFonts w:ascii="Liberation Sans" w:cs="Lohit Devanagari" w:eastAsia="WenQuanYi Zen Hei Sharp" w:hAnsi="Liberation Sans"/>
      <w:sz w:val="28"/>
      <w:szCs w:val="28"/>
    </w:rPr>
  </w:style>
  <w:style w:styleId="style30" w:type="paragraph">
    <w:name w:val="Cuerpo de texto"/>
    <w:basedOn w:val="style0"/>
    <w:next w:val="style30"/>
    <w:pPr>
      <w:spacing w:after="120" w:before="0"/>
    </w:pPr>
    <w:rPr/>
  </w:style>
  <w:style w:styleId="style31" w:type="paragraph">
    <w:name w:val="Lista"/>
    <w:basedOn w:val="style30"/>
    <w:next w:val="style31"/>
    <w:pPr/>
    <w:rPr>
      <w:rFonts w:cs="Lohit Devanagari"/>
    </w:rPr>
  </w:style>
  <w:style w:styleId="style32" w:type="paragraph">
    <w:name w:val="Etiqueta"/>
    <w:basedOn w:val="style0"/>
    <w:next w:val="style32"/>
    <w:pPr>
      <w:suppressLineNumbers/>
      <w:spacing w:after="120" w:before="120"/>
    </w:pPr>
    <w:rPr>
      <w:rFonts w:cs="Lohit Devanagari"/>
      <w:i/>
      <w:iCs/>
      <w:sz w:val="24"/>
      <w:szCs w:val="24"/>
    </w:rPr>
  </w:style>
  <w:style w:styleId="style33" w:type="paragraph">
    <w:name w:val="Índice"/>
    <w:basedOn w:val="style0"/>
    <w:next w:val="style33"/>
    <w:pPr>
      <w:suppressLineNumbers/>
    </w:pPr>
    <w:rPr>
      <w:rFonts w:cs="Lohit Devanagari"/>
    </w:rPr>
  </w:style>
  <w:style w:styleId="style34" w:type="paragraph">
    <w:name w:val="entrada_2"/>
    <w:basedOn w:val="style0"/>
    <w:next w:val="style34"/>
    <w:pPr>
      <w:spacing w:after="28" w:before="28" w:line="100" w:lineRule="atLeast"/>
    </w:pPr>
    <w:rPr>
      <w:rFonts w:ascii="Times New Roman" w:cs="Times New Roman" w:eastAsia="Times New Roman" w:hAnsi="Times New Roman"/>
      <w:sz w:val="24"/>
      <w:szCs w:val="24"/>
      <w:lang w:eastAsia="es-ES"/>
    </w:rPr>
  </w:style>
  <w:style w:styleId="style35" w:type="paragraph">
    <w:name w:val="Normal (Web)"/>
    <w:basedOn w:val="style0"/>
    <w:next w:val="style35"/>
    <w:pPr>
      <w:spacing w:after="28" w:before="28" w:line="100" w:lineRule="atLeast"/>
    </w:pPr>
    <w:rPr>
      <w:rFonts w:ascii="Times New Roman" w:cs="Times New Roman" w:eastAsia="Times New Roman" w:hAnsi="Times New Roman"/>
      <w:sz w:val="24"/>
      <w:szCs w:val="24"/>
      <w:lang w:eastAsia="es-ES"/>
    </w:rPr>
  </w:style>
  <w:style w:styleId="style36" w:type="paragraph">
    <w:name w:val="fuente"/>
    <w:basedOn w:val="style0"/>
    <w:next w:val="style36"/>
    <w:pPr>
      <w:spacing w:after="28" w:before="28" w:line="100" w:lineRule="atLeast"/>
    </w:pPr>
    <w:rPr>
      <w:rFonts w:ascii="Times New Roman" w:cs="Times New Roman" w:eastAsia="Times New Roman" w:hAnsi="Times New Roman"/>
      <w:sz w:val="24"/>
      <w:szCs w:val="24"/>
      <w:lang w:eastAsia="es-ES"/>
    </w:rPr>
  </w:style>
  <w:style w:styleId="style37" w:type="paragraph">
    <w:name w:val="titulares"/>
    <w:basedOn w:val="style0"/>
    <w:next w:val="style37"/>
    <w:pPr>
      <w:spacing w:after="28" w:before="28" w:line="100" w:lineRule="atLeast"/>
    </w:pPr>
    <w:rPr>
      <w:rFonts w:ascii="Times New Roman" w:cs="Times New Roman" w:eastAsia="Times New Roman" w:hAnsi="Times New Roman"/>
      <w:sz w:val="24"/>
      <w:szCs w:val="24"/>
      <w:lang w:eastAsia="es-ES"/>
    </w:rPr>
  </w:style>
  <w:style w:styleId="style38" w:type="paragraph">
    <w:name w:val="Encabezamiento"/>
    <w:basedOn w:val="style0"/>
    <w:next w:val="style38"/>
    <w:pPr>
      <w:suppressLineNumbers/>
      <w:tabs>
        <w:tab w:leader="none" w:pos="4252" w:val="center"/>
        <w:tab w:leader="none" w:pos="8504" w:val="right"/>
      </w:tabs>
      <w:spacing w:after="0" w:before="0" w:line="100" w:lineRule="atLeast"/>
    </w:pPr>
    <w:rPr/>
  </w:style>
  <w:style w:styleId="style39" w:type="paragraph">
    <w:name w:val="Pie de página"/>
    <w:basedOn w:val="style0"/>
    <w:next w:val="style39"/>
    <w:pPr>
      <w:suppressLineNumbers/>
      <w:tabs>
        <w:tab w:leader="none" w:pos="4252" w:val="center"/>
        <w:tab w:leader="none" w:pos="8504"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2012-05-25T11:22:00.00Z</dcterms:created>
  <dc:creator>Vicente Garcia</dc:creator>
  <cp:lastModifiedBy>Vicente Garcia</cp:lastModifiedBy>
  <dcterms:modified xsi:type="dcterms:W3CDTF">2012-05-25T11:25:00.00Z</dcterms:modified>
  <cp:revision>1</cp:revision>
</cp:coreProperties>
</file>